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F58FE7" w14:textId="2D01CF2C" w:rsidR="000120EA" w:rsidRDefault="00922E61" w:rsidP="000120EA">
      <w:pPr>
        <w:pStyle w:val="Corpodetexto"/>
        <w:spacing w:after="0" w:line="240" w:lineRule="auto"/>
        <w:ind w:left="3969" w:right="-284"/>
        <w:jc w:val="left"/>
        <w:rPr>
          <w:rFonts w:asciiTheme="minorHAnsi" w:hAnsiTheme="minorHAnsi" w:cs="Arial"/>
          <w:b/>
          <w:bCs/>
          <w:caps/>
          <w:spacing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562F7A3E" wp14:editId="3975A187">
            <wp:simplePos x="0" y="0"/>
            <wp:positionH relativeFrom="column">
              <wp:posOffset>-805180</wp:posOffset>
            </wp:positionH>
            <wp:positionV relativeFrom="paragraph">
              <wp:posOffset>-435610</wp:posOffset>
            </wp:positionV>
            <wp:extent cx="4800600" cy="2085340"/>
            <wp:effectExtent l="0" t="0" r="0" b="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posta6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E8489" w14:textId="77777777" w:rsidR="000120EA" w:rsidRDefault="000120EA" w:rsidP="000120EA">
      <w:pPr>
        <w:pStyle w:val="Corpodetexto"/>
        <w:spacing w:after="0" w:line="240" w:lineRule="auto"/>
        <w:ind w:left="3969" w:right="-284"/>
        <w:jc w:val="left"/>
        <w:rPr>
          <w:rFonts w:asciiTheme="minorHAnsi" w:hAnsiTheme="minorHAnsi" w:cs="Arial"/>
          <w:b/>
          <w:bCs/>
          <w:caps/>
          <w:spacing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64F39AA" w14:textId="77777777" w:rsidR="000120EA" w:rsidRDefault="000120EA" w:rsidP="000120EA">
      <w:pPr>
        <w:pStyle w:val="Corpodetexto"/>
        <w:spacing w:after="0" w:line="240" w:lineRule="auto"/>
        <w:ind w:left="3969" w:right="-284"/>
        <w:jc w:val="left"/>
        <w:rPr>
          <w:rFonts w:asciiTheme="minorHAnsi" w:hAnsiTheme="minorHAnsi" w:cs="Arial"/>
          <w:b/>
          <w:bCs/>
          <w:caps/>
          <w:spacing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863E395" w14:textId="7D407628" w:rsidR="000120EA" w:rsidRDefault="000120EA" w:rsidP="000120EA">
      <w:pPr>
        <w:pStyle w:val="Corpodetexto"/>
        <w:spacing w:after="0" w:line="240" w:lineRule="auto"/>
        <w:ind w:left="3969" w:right="-284"/>
        <w:jc w:val="left"/>
        <w:rPr>
          <w:rFonts w:asciiTheme="minorHAnsi" w:hAnsiTheme="minorHAnsi" w:cs="Arial"/>
          <w:b/>
          <w:bCs/>
          <w:caps/>
          <w:spacing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B1EBE25" w14:textId="77777777" w:rsidR="000120EA" w:rsidRDefault="000120EA" w:rsidP="000120EA">
      <w:pPr>
        <w:pStyle w:val="Corpodetexto"/>
        <w:spacing w:after="0" w:line="240" w:lineRule="auto"/>
        <w:ind w:left="3969" w:right="-284"/>
        <w:jc w:val="left"/>
        <w:rPr>
          <w:rFonts w:asciiTheme="minorHAnsi" w:hAnsiTheme="minorHAnsi" w:cs="Arial"/>
          <w:b/>
          <w:bCs/>
          <w:caps/>
          <w:spacing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5716463" w14:textId="77777777" w:rsidR="000120EA" w:rsidRDefault="000120EA" w:rsidP="000120EA">
      <w:pPr>
        <w:pStyle w:val="Corpodetexto"/>
        <w:spacing w:after="0" w:line="240" w:lineRule="auto"/>
        <w:ind w:left="3969" w:right="-284"/>
        <w:jc w:val="left"/>
        <w:rPr>
          <w:rFonts w:asciiTheme="minorHAnsi" w:hAnsiTheme="minorHAnsi" w:cs="Arial"/>
          <w:b/>
          <w:bCs/>
          <w:caps/>
          <w:spacing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A2506B9" w14:textId="77777777" w:rsidR="003A2A1B" w:rsidRDefault="003A2A1B" w:rsidP="002279CF">
      <w:pPr>
        <w:pStyle w:val="Corpodetexto"/>
        <w:spacing w:after="0" w:line="240" w:lineRule="auto"/>
        <w:ind w:left="3969" w:right="-1"/>
        <w:jc w:val="left"/>
        <w:rPr>
          <w:rFonts w:asciiTheme="minorHAnsi" w:hAnsiTheme="minorHAnsi" w:cs="Arial"/>
          <w:b/>
          <w:bCs/>
          <w:caps/>
          <w:spacing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97FE276" w14:textId="77777777" w:rsidR="003A2A1B" w:rsidRDefault="003A2A1B" w:rsidP="002279CF">
      <w:pPr>
        <w:pStyle w:val="Corpodetexto"/>
        <w:spacing w:after="0" w:line="240" w:lineRule="auto"/>
        <w:ind w:left="3969" w:right="-1"/>
        <w:jc w:val="left"/>
        <w:rPr>
          <w:rFonts w:asciiTheme="minorHAnsi" w:hAnsiTheme="minorHAnsi" w:cs="Arial"/>
          <w:b/>
          <w:bCs/>
          <w:caps/>
          <w:spacing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A1FC16D" w14:textId="77777777" w:rsidR="000120EA" w:rsidRDefault="000120EA" w:rsidP="005322C9">
      <w:pPr>
        <w:pStyle w:val="Corpodetexto"/>
        <w:spacing w:after="0" w:line="240" w:lineRule="auto"/>
        <w:ind w:left="3969" w:right="-1"/>
        <w:jc w:val="left"/>
        <w:rPr>
          <w:rFonts w:asciiTheme="minorHAnsi" w:hAnsiTheme="minorHAnsi" w:cs="Arial"/>
          <w:b/>
          <w:bCs/>
          <w:caps/>
          <w:spacing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r w:rsidRPr="00A917C2">
        <w:rPr>
          <w:rFonts w:asciiTheme="minorHAnsi" w:hAnsiTheme="minorHAnsi" w:cs="Arial"/>
          <w:b/>
          <w:bCs/>
          <w:caps/>
          <w:spacing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NOta de Orientações para </w:t>
      </w:r>
      <w:r w:rsidR="005322C9">
        <w:rPr>
          <w:rFonts w:asciiTheme="minorHAnsi" w:hAnsiTheme="minorHAnsi" w:cs="Arial"/>
          <w:b/>
          <w:bCs/>
          <w:caps/>
          <w:spacing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análise financeira:</w:t>
      </w:r>
    </w:p>
    <w:p w14:paraId="6F4C5679" w14:textId="77777777" w:rsidR="005322C9" w:rsidRDefault="005322C9" w:rsidP="00305028">
      <w:pPr>
        <w:pStyle w:val="Corpodetexto"/>
        <w:numPr>
          <w:ilvl w:val="0"/>
          <w:numId w:val="26"/>
        </w:numPr>
        <w:spacing w:after="0" w:line="240" w:lineRule="auto"/>
        <w:ind w:left="4395" w:right="-1" w:hanging="284"/>
        <w:jc w:val="left"/>
        <w:rPr>
          <w:rFonts w:asciiTheme="minorHAnsi" w:hAnsiTheme="minorHAnsi" w:cs="Arial"/>
          <w:b/>
          <w:bCs/>
          <w:spacing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322C9">
        <w:rPr>
          <w:rFonts w:asciiTheme="minorHAnsi" w:hAnsiTheme="minorHAnsi" w:cs="Arial"/>
          <w:b/>
          <w:bCs/>
          <w:spacing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</w:t>
      </w:r>
      <w:r>
        <w:rPr>
          <w:rFonts w:asciiTheme="minorHAnsi" w:hAnsiTheme="minorHAnsi" w:cs="Arial"/>
          <w:b/>
          <w:bCs/>
          <w:spacing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álise de rentabilidade financeira</w:t>
      </w:r>
    </w:p>
    <w:p w14:paraId="5E9E6507" w14:textId="77777777" w:rsidR="00587AA0" w:rsidRPr="008732D9" w:rsidRDefault="00587AA0" w:rsidP="00305028">
      <w:pPr>
        <w:pStyle w:val="Corpodetexto"/>
        <w:numPr>
          <w:ilvl w:val="0"/>
          <w:numId w:val="26"/>
        </w:numPr>
        <w:spacing w:after="0" w:line="240" w:lineRule="auto"/>
        <w:ind w:left="4395" w:right="-1" w:hanging="284"/>
        <w:jc w:val="left"/>
        <w:rPr>
          <w:rFonts w:asciiTheme="minorHAnsi" w:hAnsiTheme="minorHAnsi" w:cs="Arial"/>
          <w:b/>
          <w:bCs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inorHAnsi" w:hAnsiTheme="minorHAnsi" w:cs="Arial"/>
          <w:b/>
          <w:bCs/>
          <w:spacing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Cálculo do Défice de Financiamento</w:t>
      </w:r>
      <w:r w:rsidR="008767AF">
        <w:rPr>
          <w:rFonts w:asciiTheme="minorHAnsi" w:hAnsiTheme="minorHAnsi" w:cs="Arial"/>
          <w:b/>
          <w:bCs/>
          <w:spacing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767AF" w:rsidRPr="008732D9">
        <w:rPr>
          <w:rFonts w:asciiTheme="minorHAnsi" w:hAnsiTheme="minorHAnsi" w:cs="Arial"/>
          <w:b/>
          <w:bCs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(Pró Rata da Receita Líquida Atualizada)</w:t>
      </w:r>
    </w:p>
    <w:p w14:paraId="7D96AE28" w14:textId="77777777" w:rsidR="005322C9" w:rsidRPr="005322C9" w:rsidRDefault="005322C9" w:rsidP="00305028">
      <w:pPr>
        <w:pStyle w:val="Corpodetexto"/>
        <w:numPr>
          <w:ilvl w:val="0"/>
          <w:numId w:val="26"/>
        </w:numPr>
        <w:spacing w:after="0" w:line="240" w:lineRule="auto"/>
        <w:ind w:left="4395" w:right="-1" w:hanging="284"/>
        <w:jc w:val="left"/>
        <w:rPr>
          <w:rFonts w:asciiTheme="minorHAnsi" w:hAnsiTheme="minorHAnsi" w:cs="Arial"/>
          <w:b/>
          <w:bCs/>
          <w:spacing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inorHAnsi" w:hAnsiTheme="minorHAnsi" w:cs="Arial"/>
          <w:b/>
          <w:bCs/>
          <w:spacing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Análise de sustentabilidade</w:t>
      </w:r>
      <w:bookmarkEnd w:id="0"/>
    </w:p>
    <w:p w14:paraId="18A434F6" w14:textId="77777777" w:rsidR="000120EA" w:rsidRPr="00A917C2" w:rsidRDefault="000120EA" w:rsidP="000120EA">
      <w:pPr>
        <w:pStyle w:val="Corpodetexto"/>
        <w:spacing w:after="0" w:line="240" w:lineRule="auto"/>
        <w:ind w:left="3969" w:right="-284"/>
        <w:jc w:val="left"/>
        <w:rPr>
          <w:rFonts w:asciiTheme="minorHAnsi" w:hAnsiTheme="minorHAnsi" w:cs="Arial"/>
          <w:b/>
          <w:bCs/>
          <w:caps/>
          <w:spacing w:val="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E9081BA" w14:textId="77777777" w:rsidR="000120EA" w:rsidRPr="003A2A1B" w:rsidRDefault="003A2A1B" w:rsidP="00D4317E">
      <w:pPr>
        <w:pStyle w:val="Corpodetexto"/>
        <w:ind w:left="3969" w:right="283"/>
        <w:rPr>
          <w:rFonts w:asciiTheme="minorHAnsi" w:hAnsiTheme="minorHAnsi"/>
          <w:sz w:val="18"/>
          <w:szCs w:val="18"/>
        </w:rPr>
      </w:pPr>
      <w:r w:rsidRPr="005322C9">
        <w:rPr>
          <w:rFonts w:asciiTheme="minorHAnsi" w:hAnsiTheme="minorHAnsi"/>
          <w:sz w:val="18"/>
          <w:szCs w:val="18"/>
        </w:rPr>
        <w:t xml:space="preserve">Considerando o disposto no </w:t>
      </w:r>
      <w:r w:rsidR="000120EA" w:rsidRPr="005322C9">
        <w:rPr>
          <w:rFonts w:asciiTheme="minorHAnsi" w:hAnsiTheme="minorHAnsi"/>
          <w:sz w:val="18"/>
          <w:szCs w:val="18"/>
        </w:rPr>
        <w:t>artigo 61º do Regulamento (UE) nº 1303/2013,de 17 de dezembro de 2013</w:t>
      </w:r>
      <w:r w:rsidRPr="005322C9">
        <w:rPr>
          <w:rFonts w:asciiTheme="minorHAnsi" w:hAnsiTheme="minorHAnsi"/>
          <w:sz w:val="18"/>
          <w:szCs w:val="18"/>
        </w:rPr>
        <w:t xml:space="preserve"> e alínea f) do número 1 do artigo 26º do Decreto-Lei nº 137/2014, de 12 de setembro</w:t>
      </w:r>
    </w:p>
    <w:p w14:paraId="38CDBDE6" w14:textId="77777777" w:rsidR="000120EA" w:rsidRDefault="000120EA" w:rsidP="000120EA">
      <w:pPr>
        <w:pStyle w:val="Corpodetexto"/>
        <w:ind w:left="3969" w:right="-710"/>
        <w:jc w:val="left"/>
        <w:rPr>
          <w:rFonts w:asciiTheme="minorHAnsi" w:hAnsiTheme="minorHAnsi"/>
          <w:sz w:val="22"/>
          <w:szCs w:val="22"/>
        </w:rPr>
      </w:pPr>
    </w:p>
    <w:p w14:paraId="7F9BE66F" w14:textId="3190B858" w:rsidR="000120EA" w:rsidRDefault="00247DC8" w:rsidP="000120EA">
      <w:pPr>
        <w:pStyle w:val="Corpodetexto"/>
        <w:ind w:left="3969" w:right="-710"/>
        <w:jc w:val="left"/>
        <w:rPr>
          <w:rFonts w:asciiTheme="minorHAnsi" w:hAnsiTheme="minorHAnsi"/>
          <w:sz w:val="22"/>
          <w:szCs w:val="22"/>
        </w:rPr>
      </w:pPr>
      <w:r w:rsidRPr="001D46E9">
        <w:rPr>
          <w:rFonts w:asciiTheme="minorHAnsi" w:hAnsiTheme="minorHAnsi" w:cs="Arial"/>
          <w:b/>
          <w:bCs/>
          <w:caps/>
          <w:spacing w:val="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Requisitos aplicáveis aos beneficiários</w:t>
      </w:r>
      <w:r w:rsidR="00C32678">
        <w:rPr>
          <w:rFonts w:asciiTheme="minorHAnsi" w:hAnsiTheme="minorHAnsi" w:cs="Arial"/>
          <w:b/>
          <w:bCs/>
          <w:caps/>
          <w:spacing w:val="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D938B2" w:rsidRPr="00D938B2">
        <w:rPr>
          <w:rFonts w:asciiTheme="minorHAnsi" w:hAnsiTheme="minorHAnsi" w:cs="Arial"/>
          <w:b/>
          <w:bCs/>
          <w:caps/>
          <w:spacing w:val="0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 OPERAÇÕES COM INVESTIMENTO ELEGÍVEL IGUAL OU SUPERIOR A 1M€</w:t>
      </w:r>
    </w:p>
    <w:p w14:paraId="1AE4224B" w14:textId="77777777" w:rsidR="000120EA" w:rsidRDefault="000120EA" w:rsidP="000120EA">
      <w:pPr>
        <w:pStyle w:val="Corpodetexto"/>
        <w:ind w:left="3969" w:right="-710"/>
        <w:jc w:val="left"/>
        <w:rPr>
          <w:rFonts w:asciiTheme="minorHAnsi" w:hAnsiTheme="minorHAnsi"/>
          <w:sz w:val="22"/>
          <w:szCs w:val="22"/>
        </w:rPr>
      </w:pPr>
    </w:p>
    <w:p w14:paraId="3D04555D" w14:textId="77777777" w:rsidR="000120EA" w:rsidRPr="00921F32" w:rsidRDefault="000120EA" w:rsidP="008732D9">
      <w:pPr>
        <w:pStyle w:val="Corpodetexto"/>
        <w:ind w:left="0" w:right="-710"/>
        <w:jc w:val="left"/>
        <w:rPr>
          <w:rFonts w:asciiTheme="minorHAnsi" w:hAnsiTheme="minorHAnsi" w:cs="Arial"/>
          <w:bCs/>
          <w:spacing w:val="0"/>
          <w:sz w:val="18"/>
          <w:szCs w:val="18"/>
        </w:rPr>
      </w:pPr>
    </w:p>
    <w:p w14:paraId="6A4B9A83" w14:textId="77777777" w:rsidR="006E01CB" w:rsidRDefault="000120EA" w:rsidP="003A2A1B">
      <w:pPr>
        <w:spacing w:line="360" w:lineRule="auto"/>
        <w:ind w:left="3119"/>
        <w:rPr>
          <w:rFonts w:asciiTheme="minorHAnsi" w:hAnsiTheme="minorHAnsi" w:cs="Arial"/>
          <w:iCs/>
          <w:smallCaps/>
          <w:color w:val="304043"/>
          <w:sz w:val="18"/>
          <w:szCs w:val="18"/>
        </w:rPr>
      </w:pPr>
      <w:proofErr w:type="gramStart"/>
      <w:r w:rsidRPr="00921F32">
        <w:rPr>
          <w:rFonts w:asciiTheme="minorHAnsi" w:hAnsiTheme="minorHAnsi" w:cs="Arial"/>
          <w:iCs/>
          <w:smallCaps/>
          <w:color w:val="304043"/>
          <w:sz w:val="18"/>
          <w:szCs w:val="18"/>
        </w:rPr>
        <w:t xml:space="preserve">Data </w:t>
      </w:r>
      <w:proofErr w:type="gramEnd"/>
      <w:r w:rsidRPr="00921F32">
        <w:rPr>
          <w:rFonts w:asciiTheme="minorHAnsi" w:hAnsiTheme="minorHAnsi" w:cs="Arial"/>
          <w:iCs/>
          <w:smallCaps/>
          <w:color w:val="304043"/>
          <w:sz w:val="18"/>
          <w:szCs w:val="18"/>
        </w:rPr>
        <w:t xml:space="preserve">: </w:t>
      </w:r>
      <w:r w:rsidR="008732D9">
        <w:rPr>
          <w:rFonts w:asciiTheme="minorHAnsi" w:hAnsiTheme="minorHAnsi" w:cs="Arial"/>
          <w:iCs/>
          <w:smallCaps/>
          <w:color w:val="304043"/>
          <w:sz w:val="18"/>
          <w:szCs w:val="18"/>
        </w:rPr>
        <w:t>Janeiro</w:t>
      </w:r>
      <w:r w:rsidR="00173378">
        <w:rPr>
          <w:rFonts w:asciiTheme="minorHAnsi" w:hAnsiTheme="minorHAnsi" w:cs="Arial"/>
          <w:iCs/>
          <w:smallCaps/>
          <w:color w:val="304043"/>
          <w:sz w:val="18"/>
          <w:szCs w:val="18"/>
        </w:rPr>
        <w:t xml:space="preserve"> </w:t>
      </w:r>
      <w:r w:rsidR="008732D9">
        <w:rPr>
          <w:rFonts w:asciiTheme="minorHAnsi" w:hAnsiTheme="minorHAnsi" w:cs="Arial"/>
          <w:iCs/>
          <w:smallCaps/>
          <w:color w:val="304043"/>
          <w:sz w:val="18"/>
          <w:szCs w:val="18"/>
        </w:rPr>
        <w:t>2017</w:t>
      </w:r>
    </w:p>
    <w:p w14:paraId="71738999" w14:textId="77777777" w:rsidR="006E01CB" w:rsidRDefault="006E01CB">
      <w:pPr>
        <w:ind w:left="0"/>
        <w:rPr>
          <w:rFonts w:asciiTheme="minorHAnsi" w:hAnsiTheme="minorHAnsi" w:cs="Arial"/>
          <w:iCs/>
          <w:smallCaps/>
          <w:color w:val="304043"/>
          <w:sz w:val="18"/>
          <w:szCs w:val="18"/>
        </w:rPr>
      </w:pPr>
      <w:r>
        <w:rPr>
          <w:rFonts w:asciiTheme="minorHAnsi" w:hAnsiTheme="minorHAnsi" w:cs="Arial"/>
          <w:iCs/>
          <w:smallCaps/>
          <w:color w:val="304043"/>
          <w:sz w:val="18"/>
          <w:szCs w:val="18"/>
        </w:rPr>
        <w:br w:type="page"/>
      </w:r>
    </w:p>
    <w:p w14:paraId="7872B601" w14:textId="77777777" w:rsidR="006E01CB" w:rsidRPr="006E01CB" w:rsidRDefault="006E01CB" w:rsidP="006E01CB">
      <w:pPr>
        <w:spacing w:line="360" w:lineRule="auto"/>
        <w:ind w:left="284" w:hanging="142"/>
        <w:rPr>
          <w:rFonts w:asciiTheme="minorHAnsi" w:hAnsiTheme="minorHAnsi" w:cs="Arial"/>
          <w:b/>
          <w:color w:val="365F91"/>
          <w:sz w:val="22"/>
          <w:szCs w:val="22"/>
        </w:rPr>
      </w:pPr>
      <w:r w:rsidRPr="006E01CB">
        <w:rPr>
          <w:rFonts w:asciiTheme="minorHAnsi" w:hAnsiTheme="minorHAnsi" w:cs="Arial"/>
          <w:b/>
          <w:color w:val="365F91"/>
          <w:sz w:val="22"/>
          <w:szCs w:val="22"/>
        </w:rPr>
        <w:lastRenderedPageBreak/>
        <w:t>Título</w:t>
      </w:r>
    </w:p>
    <w:p w14:paraId="63BD3547" w14:textId="77777777" w:rsidR="006E01CB" w:rsidRPr="006E01CB" w:rsidRDefault="006E01CB" w:rsidP="006E01CB">
      <w:pPr>
        <w:pStyle w:val="Corpodetexto"/>
        <w:spacing w:after="0" w:line="240" w:lineRule="auto"/>
        <w:ind w:left="142" w:right="-1"/>
        <w:jc w:val="left"/>
        <w:rPr>
          <w:rFonts w:asciiTheme="minorHAnsi" w:hAnsiTheme="minorHAnsi" w:cs="Arial"/>
          <w:b/>
          <w:caps/>
          <w:sz w:val="22"/>
          <w:szCs w:val="22"/>
        </w:rPr>
      </w:pPr>
      <w:r w:rsidRPr="006E01CB">
        <w:rPr>
          <w:rFonts w:asciiTheme="minorHAnsi" w:hAnsiTheme="minorHAnsi" w:cs="Arial"/>
          <w:b/>
          <w:caps/>
          <w:sz w:val="22"/>
          <w:szCs w:val="22"/>
        </w:rPr>
        <w:t>NOta de Orientações para a análise financeira:</w:t>
      </w:r>
    </w:p>
    <w:p w14:paraId="6CB1DACD" w14:textId="77777777" w:rsidR="006E01CB" w:rsidRPr="006E01CB" w:rsidRDefault="006E01CB" w:rsidP="00305028">
      <w:pPr>
        <w:pStyle w:val="Corpodetexto"/>
        <w:numPr>
          <w:ilvl w:val="0"/>
          <w:numId w:val="26"/>
        </w:numPr>
        <w:spacing w:after="0" w:line="240" w:lineRule="auto"/>
        <w:ind w:left="851" w:right="-1" w:hanging="284"/>
        <w:jc w:val="left"/>
        <w:rPr>
          <w:rFonts w:asciiTheme="minorHAnsi" w:hAnsiTheme="minorHAnsi" w:cs="Arial"/>
          <w:b/>
          <w:sz w:val="22"/>
          <w:szCs w:val="22"/>
        </w:rPr>
      </w:pPr>
      <w:r w:rsidRPr="006E01CB">
        <w:rPr>
          <w:rFonts w:asciiTheme="minorHAnsi" w:hAnsiTheme="minorHAnsi" w:cs="Arial"/>
          <w:b/>
          <w:sz w:val="22"/>
          <w:szCs w:val="22"/>
        </w:rPr>
        <w:t>Análise de rentabilidade financeira</w:t>
      </w:r>
    </w:p>
    <w:p w14:paraId="7E23EDE5" w14:textId="77777777" w:rsidR="006E01CB" w:rsidRPr="006E01CB" w:rsidRDefault="006E01CB" w:rsidP="00305028">
      <w:pPr>
        <w:pStyle w:val="Corpodetexto"/>
        <w:numPr>
          <w:ilvl w:val="0"/>
          <w:numId w:val="26"/>
        </w:numPr>
        <w:spacing w:after="0" w:line="240" w:lineRule="auto"/>
        <w:ind w:left="851" w:right="-1" w:hanging="284"/>
        <w:jc w:val="left"/>
        <w:rPr>
          <w:rFonts w:asciiTheme="minorHAnsi" w:hAnsiTheme="minorHAnsi" w:cs="Arial"/>
          <w:b/>
          <w:sz w:val="22"/>
          <w:szCs w:val="22"/>
        </w:rPr>
      </w:pPr>
      <w:r w:rsidRPr="006E01CB">
        <w:rPr>
          <w:rFonts w:asciiTheme="minorHAnsi" w:hAnsiTheme="minorHAnsi" w:cs="Arial"/>
          <w:b/>
          <w:sz w:val="22"/>
          <w:szCs w:val="22"/>
        </w:rPr>
        <w:t>Cálculo do Défice de Financiamento</w:t>
      </w:r>
    </w:p>
    <w:p w14:paraId="436A5B1C" w14:textId="77777777" w:rsidR="006E01CB" w:rsidRPr="006E01CB" w:rsidRDefault="006E01CB" w:rsidP="00305028">
      <w:pPr>
        <w:pStyle w:val="Corpodetexto"/>
        <w:numPr>
          <w:ilvl w:val="0"/>
          <w:numId w:val="26"/>
        </w:numPr>
        <w:spacing w:after="0" w:line="240" w:lineRule="auto"/>
        <w:ind w:left="851" w:right="-1" w:hanging="284"/>
        <w:jc w:val="left"/>
        <w:rPr>
          <w:rFonts w:asciiTheme="minorHAnsi" w:hAnsiTheme="minorHAnsi" w:cs="Arial"/>
          <w:b/>
          <w:sz w:val="22"/>
          <w:szCs w:val="22"/>
        </w:rPr>
      </w:pPr>
      <w:r w:rsidRPr="006E01CB">
        <w:rPr>
          <w:rFonts w:asciiTheme="minorHAnsi" w:hAnsiTheme="minorHAnsi" w:cs="Arial"/>
          <w:b/>
          <w:sz w:val="22"/>
          <w:szCs w:val="22"/>
        </w:rPr>
        <w:t>Análise de sustentabilidade</w:t>
      </w:r>
    </w:p>
    <w:p w14:paraId="623610D2" w14:textId="77777777" w:rsidR="006E01CB" w:rsidRPr="006E01CB" w:rsidRDefault="006E01CB" w:rsidP="006E01CB">
      <w:pPr>
        <w:spacing w:before="240" w:line="360" w:lineRule="auto"/>
        <w:ind w:left="284" w:hanging="142"/>
        <w:rPr>
          <w:rFonts w:asciiTheme="minorHAnsi" w:hAnsiTheme="minorHAnsi" w:cs="Arial"/>
          <w:b/>
          <w:color w:val="365F91"/>
          <w:sz w:val="22"/>
          <w:szCs w:val="22"/>
        </w:rPr>
      </w:pPr>
      <w:r w:rsidRPr="006E01CB">
        <w:rPr>
          <w:rFonts w:asciiTheme="minorHAnsi" w:hAnsiTheme="minorHAnsi" w:cs="Arial"/>
          <w:b/>
          <w:color w:val="365F91"/>
          <w:sz w:val="22"/>
          <w:szCs w:val="22"/>
        </w:rPr>
        <w:t>Editor</w:t>
      </w:r>
    </w:p>
    <w:p w14:paraId="4F302559" w14:textId="77777777" w:rsidR="006E01CB" w:rsidRPr="006E01CB" w:rsidRDefault="006E01CB" w:rsidP="006E01CB">
      <w:pPr>
        <w:spacing w:line="360" w:lineRule="auto"/>
        <w:ind w:left="142"/>
        <w:rPr>
          <w:rFonts w:asciiTheme="minorHAnsi" w:hAnsiTheme="minorHAnsi" w:cs="Arial"/>
          <w:b/>
          <w:sz w:val="22"/>
          <w:szCs w:val="22"/>
        </w:rPr>
      </w:pPr>
      <w:r w:rsidRPr="006E01CB">
        <w:rPr>
          <w:rFonts w:asciiTheme="minorHAnsi" w:hAnsiTheme="minorHAnsi" w:cs="Arial"/>
          <w:b/>
          <w:sz w:val="22"/>
          <w:szCs w:val="22"/>
        </w:rPr>
        <w:t>Autoridade de Gestão do Programa Operacional Sustentabilidade e Eficiência no Uso de Recursos</w:t>
      </w:r>
    </w:p>
    <w:p w14:paraId="0515B81A" w14:textId="77777777" w:rsidR="006E01CB" w:rsidRPr="006E01CB" w:rsidRDefault="006E01CB" w:rsidP="006E01CB">
      <w:pPr>
        <w:spacing w:before="240" w:line="360" w:lineRule="auto"/>
        <w:ind w:left="284" w:hanging="142"/>
        <w:rPr>
          <w:rFonts w:asciiTheme="minorHAnsi" w:hAnsiTheme="minorHAnsi" w:cs="Arial"/>
          <w:b/>
          <w:color w:val="365F91"/>
          <w:sz w:val="22"/>
          <w:szCs w:val="22"/>
        </w:rPr>
      </w:pPr>
      <w:r w:rsidRPr="006E01CB">
        <w:rPr>
          <w:rFonts w:asciiTheme="minorHAnsi" w:hAnsiTheme="minorHAnsi" w:cs="Arial"/>
          <w:b/>
          <w:color w:val="365F91"/>
          <w:sz w:val="22"/>
          <w:szCs w:val="22"/>
        </w:rPr>
        <w:t>Endereços</w:t>
      </w:r>
    </w:p>
    <w:p w14:paraId="2D447F15" w14:textId="77777777" w:rsidR="006E01CB" w:rsidRPr="006E01CB" w:rsidRDefault="006E01CB" w:rsidP="006E01CB">
      <w:pPr>
        <w:spacing w:line="360" w:lineRule="auto"/>
        <w:ind w:left="284" w:hanging="142"/>
        <w:rPr>
          <w:rFonts w:asciiTheme="minorHAnsi" w:hAnsiTheme="minorHAnsi" w:cs="Arial"/>
          <w:sz w:val="22"/>
          <w:szCs w:val="22"/>
        </w:rPr>
      </w:pPr>
      <w:r w:rsidRPr="006E01CB">
        <w:rPr>
          <w:rFonts w:asciiTheme="minorHAnsi" w:hAnsiTheme="minorHAnsi" w:cs="Arial"/>
          <w:sz w:val="22"/>
          <w:szCs w:val="22"/>
        </w:rPr>
        <w:t>Av. Columbano Bordalo Pinheiro, n.º 5</w:t>
      </w:r>
    </w:p>
    <w:p w14:paraId="37CC26F7" w14:textId="77777777" w:rsidR="006E01CB" w:rsidRPr="006E01CB" w:rsidRDefault="006E01CB" w:rsidP="006E01CB">
      <w:pPr>
        <w:spacing w:before="40" w:line="360" w:lineRule="auto"/>
        <w:ind w:left="284" w:hanging="142"/>
        <w:rPr>
          <w:rFonts w:asciiTheme="minorHAnsi" w:hAnsiTheme="minorHAnsi" w:cs="Arial"/>
          <w:sz w:val="22"/>
          <w:szCs w:val="22"/>
        </w:rPr>
      </w:pPr>
      <w:r w:rsidRPr="006E01CB">
        <w:rPr>
          <w:rFonts w:asciiTheme="minorHAnsi" w:hAnsiTheme="minorHAnsi" w:cs="Arial"/>
          <w:sz w:val="22"/>
          <w:szCs w:val="22"/>
        </w:rPr>
        <w:t>1099-019 Lisboa</w:t>
      </w:r>
    </w:p>
    <w:p w14:paraId="2DFF9F82" w14:textId="77777777" w:rsidR="006E01CB" w:rsidRPr="006E01CB" w:rsidRDefault="006E01CB" w:rsidP="006E01CB">
      <w:pPr>
        <w:spacing w:line="360" w:lineRule="auto"/>
        <w:ind w:left="284" w:hanging="142"/>
        <w:rPr>
          <w:rFonts w:asciiTheme="minorHAnsi" w:hAnsiTheme="minorHAnsi" w:cs="Arial"/>
          <w:sz w:val="22"/>
          <w:szCs w:val="22"/>
        </w:rPr>
      </w:pPr>
      <w:proofErr w:type="spellStart"/>
      <w:r w:rsidRPr="006E01CB">
        <w:rPr>
          <w:rFonts w:asciiTheme="minorHAnsi" w:hAnsiTheme="minorHAnsi" w:cs="Arial"/>
          <w:sz w:val="22"/>
          <w:szCs w:val="22"/>
        </w:rPr>
        <w:t>Telf</w:t>
      </w:r>
      <w:proofErr w:type="spellEnd"/>
      <w:r w:rsidRPr="006E01CB">
        <w:rPr>
          <w:rFonts w:asciiTheme="minorHAnsi" w:hAnsiTheme="minorHAnsi" w:cs="Arial"/>
          <w:sz w:val="22"/>
          <w:szCs w:val="22"/>
        </w:rPr>
        <w:t>: +351 211 545 000</w:t>
      </w:r>
    </w:p>
    <w:p w14:paraId="42970688" w14:textId="77777777" w:rsidR="006E01CB" w:rsidRPr="006E01CB" w:rsidRDefault="006E01CB" w:rsidP="006E01CB">
      <w:pPr>
        <w:spacing w:before="80" w:line="360" w:lineRule="auto"/>
        <w:ind w:left="284" w:hanging="142"/>
        <w:rPr>
          <w:rFonts w:asciiTheme="minorHAnsi" w:hAnsiTheme="minorHAnsi" w:cs="Arial"/>
          <w:sz w:val="22"/>
          <w:szCs w:val="22"/>
        </w:rPr>
      </w:pPr>
      <w:proofErr w:type="gramStart"/>
      <w:r w:rsidRPr="006E01CB">
        <w:rPr>
          <w:rFonts w:asciiTheme="minorHAnsi" w:hAnsiTheme="minorHAnsi" w:cs="Arial"/>
          <w:sz w:val="22"/>
          <w:szCs w:val="22"/>
        </w:rPr>
        <w:t>Fax</w:t>
      </w:r>
      <w:proofErr w:type="gramEnd"/>
      <w:r w:rsidRPr="006E01CB">
        <w:rPr>
          <w:rFonts w:asciiTheme="minorHAnsi" w:hAnsiTheme="minorHAnsi" w:cs="Arial"/>
          <w:sz w:val="22"/>
          <w:szCs w:val="22"/>
        </w:rPr>
        <w:t>: +351 211 545 099</w:t>
      </w:r>
    </w:p>
    <w:p w14:paraId="36E2741C" w14:textId="77777777" w:rsidR="006E01CB" w:rsidRPr="006E01CB" w:rsidRDefault="006E01CB" w:rsidP="006E01CB">
      <w:pPr>
        <w:spacing w:before="80" w:line="360" w:lineRule="auto"/>
        <w:ind w:left="284" w:hanging="142"/>
        <w:rPr>
          <w:rFonts w:asciiTheme="minorHAnsi" w:hAnsiTheme="minorHAnsi" w:cs="Arial"/>
          <w:i/>
          <w:sz w:val="22"/>
          <w:szCs w:val="22"/>
        </w:rPr>
      </w:pPr>
      <w:proofErr w:type="gramStart"/>
      <w:r w:rsidRPr="006E01CB">
        <w:rPr>
          <w:rFonts w:asciiTheme="minorHAnsi" w:hAnsiTheme="minorHAnsi" w:cs="Arial"/>
          <w:i/>
          <w:sz w:val="22"/>
          <w:szCs w:val="22"/>
        </w:rPr>
        <w:t>poseur@poseur.portugal2020.pt</w:t>
      </w:r>
      <w:proofErr w:type="gramEnd"/>
    </w:p>
    <w:p w14:paraId="288D34CF" w14:textId="77777777" w:rsidR="006E01CB" w:rsidRPr="006E01CB" w:rsidRDefault="006E01CB" w:rsidP="006E01CB">
      <w:pPr>
        <w:spacing w:before="80" w:line="360" w:lineRule="auto"/>
        <w:ind w:left="284" w:hanging="142"/>
        <w:rPr>
          <w:rFonts w:asciiTheme="minorHAnsi" w:hAnsiTheme="minorHAnsi" w:cs="Arial"/>
          <w:i/>
          <w:sz w:val="22"/>
          <w:szCs w:val="22"/>
        </w:rPr>
      </w:pPr>
      <w:proofErr w:type="gramStart"/>
      <w:r w:rsidRPr="006E01CB">
        <w:rPr>
          <w:rFonts w:asciiTheme="minorHAnsi" w:eastAsia="Calibri" w:hAnsiTheme="minorHAnsi" w:cs="Arial"/>
          <w:i/>
          <w:sz w:val="22"/>
          <w:szCs w:val="22"/>
        </w:rPr>
        <w:t>www.poseur.portugal2020.pt</w:t>
      </w:r>
      <w:proofErr w:type="gramEnd"/>
    </w:p>
    <w:p w14:paraId="4C2FAC7C" w14:textId="77777777" w:rsidR="006E01CB" w:rsidRPr="006E01CB" w:rsidRDefault="006E01CB" w:rsidP="006E01CB">
      <w:pPr>
        <w:spacing w:before="240"/>
        <w:ind w:left="284" w:hanging="142"/>
        <w:rPr>
          <w:rFonts w:asciiTheme="minorHAnsi" w:hAnsiTheme="minorHAnsi" w:cs="Arial"/>
          <w:b/>
          <w:color w:val="365F91"/>
          <w:sz w:val="22"/>
          <w:szCs w:val="22"/>
        </w:rPr>
      </w:pPr>
      <w:r w:rsidRPr="006E01CB">
        <w:rPr>
          <w:rFonts w:asciiTheme="minorHAnsi" w:hAnsiTheme="minorHAnsi" w:cs="Arial"/>
          <w:b/>
          <w:color w:val="365F91"/>
          <w:sz w:val="22"/>
          <w:szCs w:val="22"/>
        </w:rPr>
        <w:t>Conceção técnica</w:t>
      </w:r>
    </w:p>
    <w:p w14:paraId="5BF8EF3B" w14:textId="77777777" w:rsidR="006E01CB" w:rsidRPr="006E01CB" w:rsidRDefault="006E01CB" w:rsidP="006E01CB">
      <w:pPr>
        <w:spacing w:before="40"/>
        <w:ind w:left="284" w:hanging="142"/>
        <w:rPr>
          <w:rFonts w:asciiTheme="minorHAnsi" w:hAnsiTheme="minorHAnsi" w:cs="Arial"/>
          <w:sz w:val="22"/>
          <w:szCs w:val="22"/>
        </w:rPr>
      </w:pPr>
      <w:r w:rsidRPr="006E01CB">
        <w:rPr>
          <w:rFonts w:asciiTheme="minorHAnsi" w:hAnsiTheme="minorHAnsi" w:cs="Arial"/>
          <w:sz w:val="22"/>
          <w:szCs w:val="22"/>
        </w:rPr>
        <w:t>Unidade de Controlo Interno</w:t>
      </w:r>
    </w:p>
    <w:p w14:paraId="77FE90A2" w14:textId="77777777" w:rsidR="006E01CB" w:rsidRPr="006E01CB" w:rsidRDefault="006E01CB" w:rsidP="006E01CB">
      <w:pPr>
        <w:spacing w:before="240"/>
        <w:ind w:left="284" w:hanging="142"/>
        <w:rPr>
          <w:rFonts w:asciiTheme="minorHAnsi" w:hAnsiTheme="minorHAnsi" w:cs="Arial"/>
          <w:b/>
          <w:color w:val="365F91"/>
          <w:sz w:val="22"/>
          <w:szCs w:val="22"/>
        </w:rPr>
      </w:pPr>
      <w:r w:rsidRPr="006E01CB">
        <w:rPr>
          <w:rFonts w:asciiTheme="minorHAnsi" w:hAnsiTheme="minorHAnsi" w:cs="Arial"/>
          <w:b/>
          <w:color w:val="365F91"/>
          <w:sz w:val="22"/>
          <w:szCs w:val="22"/>
        </w:rPr>
        <w:t>Data de edição</w:t>
      </w:r>
    </w:p>
    <w:p w14:paraId="7BFF8DC2" w14:textId="77777777" w:rsidR="006E01CB" w:rsidRPr="006E01CB" w:rsidRDefault="000E2863" w:rsidP="006E01CB">
      <w:pPr>
        <w:ind w:left="284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17 Janeiro 2017</w:t>
      </w:r>
    </w:p>
    <w:p w14:paraId="15EE55DF" w14:textId="77777777" w:rsidR="006E01CB" w:rsidRPr="006E01CB" w:rsidRDefault="006E01CB" w:rsidP="006E01CB">
      <w:pPr>
        <w:spacing w:before="480"/>
        <w:rPr>
          <w:rFonts w:asciiTheme="minorHAnsi" w:hAnsiTheme="minorHAnsi" w:cs="Arial"/>
          <w:b/>
          <w:color w:val="365F91"/>
          <w:sz w:val="22"/>
          <w:szCs w:val="22"/>
        </w:rPr>
      </w:pPr>
      <w:r w:rsidRPr="006E01CB">
        <w:rPr>
          <w:rFonts w:asciiTheme="minorHAnsi" w:hAnsiTheme="minorHAnsi" w:cs="Arial"/>
          <w:b/>
          <w:color w:val="365F91"/>
          <w:sz w:val="22"/>
          <w:szCs w:val="22"/>
        </w:rPr>
        <w:t>Controlo de versões</w:t>
      </w:r>
      <w:r w:rsidRPr="006E01CB">
        <w:rPr>
          <w:rFonts w:asciiTheme="minorHAnsi" w:hAnsiTheme="minorHAnsi" w:cs="Arial"/>
          <w:b/>
          <w:color w:val="365F91"/>
          <w:sz w:val="22"/>
          <w:szCs w:val="22"/>
        </w:rPr>
        <w:br/>
      </w:r>
    </w:p>
    <w:tbl>
      <w:tblPr>
        <w:tblW w:w="6487" w:type="dxa"/>
        <w:tblInd w:w="392" w:type="dxa"/>
        <w:tblBorders>
          <w:top w:val="single" w:sz="4" w:space="0" w:color="FFFFFF"/>
          <w:insideH w:val="single" w:sz="12" w:space="0" w:color="C8E6EE"/>
          <w:insideV w:val="single" w:sz="4" w:space="0" w:color="59B3CB"/>
        </w:tblBorders>
        <w:tblLook w:val="04A0" w:firstRow="1" w:lastRow="0" w:firstColumn="1" w:lastColumn="0" w:noHBand="0" w:noVBand="1"/>
      </w:tblPr>
      <w:tblGrid>
        <w:gridCol w:w="2161"/>
        <w:gridCol w:w="2161"/>
        <w:gridCol w:w="2165"/>
      </w:tblGrid>
      <w:tr w:rsidR="006E01CB" w:rsidRPr="006E01CB" w14:paraId="0DD793F5" w14:textId="77777777" w:rsidTr="006E01CB">
        <w:trPr>
          <w:trHeight w:val="242"/>
        </w:trPr>
        <w:tc>
          <w:tcPr>
            <w:tcW w:w="2161" w:type="dxa"/>
            <w:shd w:val="clear" w:color="auto" w:fill="auto"/>
            <w:vAlign w:val="center"/>
          </w:tcPr>
          <w:p w14:paraId="7361125E" w14:textId="77777777" w:rsidR="006E01CB" w:rsidRPr="006E01CB" w:rsidRDefault="006E01CB" w:rsidP="00275CDE">
            <w:pPr>
              <w:spacing w:before="40" w:after="40"/>
              <w:jc w:val="center"/>
              <w:rPr>
                <w:rFonts w:asciiTheme="minorHAnsi" w:eastAsia="Calibri" w:hAnsiTheme="minorHAnsi" w:cs="Arial"/>
                <w:b/>
                <w:color w:val="3CA2BE"/>
                <w:sz w:val="22"/>
                <w:szCs w:val="22"/>
              </w:rPr>
            </w:pPr>
            <w:r w:rsidRPr="006E01CB">
              <w:rPr>
                <w:rFonts w:asciiTheme="minorHAnsi" w:eastAsia="Calibri" w:hAnsiTheme="minorHAnsi" w:cs="Arial"/>
                <w:b/>
                <w:color w:val="3CA2BE"/>
                <w:sz w:val="22"/>
                <w:szCs w:val="22"/>
              </w:rPr>
              <w:t>N.º Versão</w:t>
            </w:r>
          </w:p>
        </w:tc>
        <w:tc>
          <w:tcPr>
            <w:tcW w:w="2161" w:type="dxa"/>
            <w:shd w:val="clear" w:color="auto" w:fill="auto"/>
            <w:vAlign w:val="center"/>
          </w:tcPr>
          <w:p w14:paraId="6E0A8F7D" w14:textId="77777777" w:rsidR="006E01CB" w:rsidRPr="006E01CB" w:rsidRDefault="006E01CB" w:rsidP="00275CDE">
            <w:pPr>
              <w:spacing w:before="40" w:after="40"/>
              <w:jc w:val="center"/>
              <w:rPr>
                <w:rFonts w:asciiTheme="minorHAnsi" w:eastAsia="Calibri" w:hAnsiTheme="minorHAnsi" w:cs="Arial"/>
                <w:b/>
                <w:color w:val="3CA2BE"/>
                <w:sz w:val="22"/>
                <w:szCs w:val="22"/>
              </w:rPr>
            </w:pPr>
            <w:r w:rsidRPr="006E01CB">
              <w:rPr>
                <w:rFonts w:asciiTheme="minorHAnsi" w:eastAsia="Calibri" w:hAnsiTheme="minorHAnsi" w:cs="Arial"/>
                <w:b/>
                <w:color w:val="3CA2BE"/>
                <w:sz w:val="22"/>
                <w:szCs w:val="22"/>
              </w:rPr>
              <w:t>Data Aprovação</w:t>
            </w:r>
          </w:p>
        </w:tc>
        <w:tc>
          <w:tcPr>
            <w:tcW w:w="2165" w:type="dxa"/>
            <w:shd w:val="clear" w:color="auto" w:fill="auto"/>
            <w:vAlign w:val="center"/>
          </w:tcPr>
          <w:p w14:paraId="262FAB9E" w14:textId="77777777" w:rsidR="006E01CB" w:rsidRPr="006E01CB" w:rsidRDefault="006E01CB" w:rsidP="00275CDE">
            <w:pPr>
              <w:spacing w:before="40" w:after="40"/>
              <w:jc w:val="center"/>
              <w:rPr>
                <w:rFonts w:asciiTheme="minorHAnsi" w:eastAsia="Calibri" w:hAnsiTheme="minorHAnsi" w:cs="Arial"/>
                <w:b/>
                <w:color w:val="3CA2BE"/>
                <w:sz w:val="22"/>
                <w:szCs w:val="22"/>
              </w:rPr>
            </w:pPr>
            <w:r w:rsidRPr="006E01CB">
              <w:rPr>
                <w:rFonts w:asciiTheme="minorHAnsi" w:eastAsia="Calibri" w:hAnsiTheme="minorHAnsi" w:cs="Arial"/>
                <w:b/>
                <w:color w:val="3CA2BE"/>
                <w:sz w:val="22"/>
                <w:szCs w:val="22"/>
              </w:rPr>
              <w:t>Descrição</w:t>
            </w:r>
          </w:p>
        </w:tc>
      </w:tr>
      <w:tr w:rsidR="006E01CB" w:rsidRPr="006E01CB" w14:paraId="7E184B76" w14:textId="77777777" w:rsidTr="006E01CB">
        <w:trPr>
          <w:trHeight w:val="289"/>
        </w:trPr>
        <w:tc>
          <w:tcPr>
            <w:tcW w:w="2161" w:type="dxa"/>
            <w:shd w:val="clear" w:color="auto" w:fill="auto"/>
            <w:vAlign w:val="center"/>
          </w:tcPr>
          <w:p w14:paraId="2253E364" w14:textId="77777777" w:rsidR="006E01CB" w:rsidRPr="006E01CB" w:rsidRDefault="006E01CB" w:rsidP="00275CDE">
            <w:pPr>
              <w:spacing w:before="80" w:after="40"/>
              <w:jc w:val="center"/>
              <w:rPr>
                <w:rFonts w:asciiTheme="minorHAnsi" w:eastAsia="Calibri" w:hAnsiTheme="minorHAnsi" w:cs="Arial"/>
                <w:color w:val="404040"/>
                <w:sz w:val="22"/>
                <w:szCs w:val="22"/>
              </w:rPr>
            </w:pPr>
            <w:r w:rsidRPr="006E01CB">
              <w:rPr>
                <w:rFonts w:asciiTheme="minorHAnsi" w:eastAsia="Calibri" w:hAnsiTheme="minorHAnsi" w:cs="Arial"/>
                <w:color w:val="404040"/>
                <w:sz w:val="22"/>
                <w:szCs w:val="22"/>
              </w:rPr>
              <w:t>1.0</w:t>
            </w:r>
          </w:p>
        </w:tc>
        <w:tc>
          <w:tcPr>
            <w:tcW w:w="2161" w:type="dxa"/>
            <w:shd w:val="clear" w:color="auto" w:fill="auto"/>
            <w:vAlign w:val="center"/>
          </w:tcPr>
          <w:p w14:paraId="07472E73" w14:textId="77777777" w:rsidR="006E01CB" w:rsidRPr="006E01CB" w:rsidRDefault="006E01CB" w:rsidP="006E01CB">
            <w:pPr>
              <w:spacing w:before="80" w:after="40"/>
              <w:jc w:val="center"/>
              <w:rPr>
                <w:rFonts w:asciiTheme="minorHAnsi" w:eastAsia="Calibri" w:hAnsiTheme="minorHAnsi" w:cs="Arial"/>
                <w:color w:val="404040"/>
                <w:sz w:val="22"/>
                <w:szCs w:val="22"/>
              </w:rPr>
            </w:pPr>
            <w:r w:rsidRPr="006E01CB">
              <w:rPr>
                <w:rFonts w:asciiTheme="minorHAnsi" w:eastAsia="Calibri" w:hAnsiTheme="minorHAnsi" w:cs="Arial"/>
                <w:color w:val="404040"/>
                <w:sz w:val="22"/>
                <w:szCs w:val="22"/>
              </w:rPr>
              <w:t>18/09/2015</w:t>
            </w:r>
          </w:p>
        </w:tc>
        <w:tc>
          <w:tcPr>
            <w:tcW w:w="2165" w:type="dxa"/>
            <w:shd w:val="clear" w:color="auto" w:fill="auto"/>
            <w:vAlign w:val="center"/>
          </w:tcPr>
          <w:p w14:paraId="50CDB151" w14:textId="77777777" w:rsidR="006E01CB" w:rsidRPr="006E01CB" w:rsidRDefault="006E01CB" w:rsidP="00275CDE">
            <w:pPr>
              <w:spacing w:before="80" w:after="40"/>
              <w:ind w:left="214"/>
              <w:jc w:val="center"/>
              <w:rPr>
                <w:rFonts w:asciiTheme="minorHAnsi" w:eastAsia="Calibri" w:hAnsiTheme="minorHAnsi" w:cs="Arial"/>
                <w:color w:val="404040"/>
                <w:sz w:val="22"/>
                <w:szCs w:val="22"/>
              </w:rPr>
            </w:pPr>
            <w:r w:rsidRPr="006E01CB">
              <w:rPr>
                <w:rFonts w:asciiTheme="minorHAnsi" w:eastAsia="Calibri" w:hAnsiTheme="minorHAnsi" w:cs="Arial"/>
                <w:color w:val="404040"/>
                <w:sz w:val="22"/>
                <w:szCs w:val="22"/>
              </w:rPr>
              <w:t>Versão inicial</w:t>
            </w:r>
          </w:p>
        </w:tc>
      </w:tr>
      <w:tr w:rsidR="006E01CB" w:rsidRPr="006E01CB" w14:paraId="692495E6" w14:textId="77777777" w:rsidTr="006E01CB">
        <w:trPr>
          <w:trHeight w:val="289"/>
        </w:trPr>
        <w:tc>
          <w:tcPr>
            <w:tcW w:w="2161" w:type="dxa"/>
            <w:shd w:val="clear" w:color="auto" w:fill="auto"/>
            <w:vAlign w:val="center"/>
          </w:tcPr>
          <w:p w14:paraId="0513E24F" w14:textId="77777777" w:rsidR="006E01CB" w:rsidRPr="006E01CB" w:rsidRDefault="006E01CB" w:rsidP="00275CDE">
            <w:pPr>
              <w:spacing w:before="80" w:after="40"/>
              <w:jc w:val="center"/>
              <w:rPr>
                <w:rFonts w:asciiTheme="minorHAnsi" w:eastAsia="Calibri" w:hAnsiTheme="minorHAnsi" w:cs="Arial"/>
                <w:color w:val="404040"/>
                <w:sz w:val="22"/>
                <w:szCs w:val="22"/>
              </w:rPr>
            </w:pPr>
            <w:r w:rsidRPr="006E01CB">
              <w:rPr>
                <w:rFonts w:asciiTheme="minorHAnsi" w:eastAsia="Calibri" w:hAnsiTheme="minorHAnsi" w:cs="Arial"/>
                <w:color w:val="404040"/>
                <w:sz w:val="22"/>
                <w:szCs w:val="22"/>
              </w:rPr>
              <w:t>2.0</w:t>
            </w:r>
          </w:p>
        </w:tc>
        <w:tc>
          <w:tcPr>
            <w:tcW w:w="2161" w:type="dxa"/>
            <w:shd w:val="clear" w:color="auto" w:fill="auto"/>
            <w:vAlign w:val="center"/>
          </w:tcPr>
          <w:p w14:paraId="66DDAEAA" w14:textId="4C4544DE" w:rsidR="006E01CB" w:rsidRPr="006E01CB" w:rsidRDefault="008820DF" w:rsidP="00A542C9">
            <w:pPr>
              <w:spacing w:before="80" w:after="40"/>
              <w:jc w:val="center"/>
              <w:rPr>
                <w:rFonts w:asciiTheme="minorHAnsi" w:eastAsia="Calibri" w:hAnsiTheme="minorHAnsi" w:cs="Arial"/>
                <w:color w:val="404040"/>
                <w:sz w:val="22"/>
                <w:szCs w:val="22"/>
              </w:rPr>
            </w:pPr>
            <w:r>
              <w:rPr>
                <w:rFonts w:asciiTheme="minorHAnsi" w:eastAsia="Calibri" w:hAnsiTheme="minorHAnsi" w:cs="Arial"/>
                <w:color w:val="404040"/>
                <w:sz w:val="22"/>
                <w:szCs w:val="22"/>
              </w:rPr>
              <w:t>09/02/2017</w:t>
            </w:r>
          </w:p>
        </w:tc>
        <w:tc>
          <w:tcPr>
            <w:tcW w:w="2165" w:type="dxa"/>
            <w:shd w:val="clear" w:color="auto" w:fill="auto"/>
            <w:vAlign w:val="center"/>
          </w:tcPr>
          <w:p w14:paraId="618291EA" w14:textId="77777777" w:rsidR="006E01CB" w:rsidRPr="006E01CB" w:rsidRDefault="006E01CB" w:rsidP="00275CDE">
            <w:pPr>
              <w:spacing w:before="80" w:after="40"/>
              <w:ind w:left="214"/>
              <w:jc w:val="center"/>
              <w:rPr>
                <w:rFonts w:asciiTheme="minorHAnsi" w:eastAsia="Calibri" w:hAnsiTheme="minorHAnsi" w:cs="Arial"/>
                <w:color w:val="404040"/>
                <w:sz w:val="22"/>
                <w:szCs w:val="22"/>
              </w:rPr>
            </w:pPr>
            <w:r w:rsidRPr="006E01CB">
              <w:rPr>
                <w:rFonts w:asciiTheme="minorHAnsi" w:eastAsia="Calibri" w:hAnsiTheme="minorHAnsi" w:cs="Arial"/>
                <w:color w:val="404040"/>
                <w:sz w:val="22"/>
                <w:szCs w:val="22"/>
              </w:rPr>
              <w:t xml:space="preserve">1º </w:t>
            </w:r>
            <w:proofErr w:type="gramStart"/>
            <w:r w:rsidRPr="006E01CB">
              <w:rPr>
                <w:rFonts w:asciiTheme="minorHAnsi" w:eastAsia="Calibri" w:hAnsiTheme="minorHAnsi" w:cs="Arial"/>
                <w:color w:val="404040"/>
                <w:sz w:val="22"/>
                <w:szCs w:val="22"/>
              </w:rPr>
              <w:t>atualização</w:t>
            </w:r>
            <w:proofErr w:type="gramEnd"/>
          </w:p>
        </w:tc>
      </w:tr>
    </w:tbl>
    <w:p w14:paraId="3B9774DE" w14:textId="77777777" w:rsidR="006E01CB" w:rsidRPr="006E01CB" w:rsidRDefault="006E01CB" w:rsidP="006E01CB">
      <w:pPr>
        <w:tabs>
          <w:tab w:val="left" w:pos="-2268"/>
        </w:tabs>
        <w:spacing w:before="120" w:after="240" w:line="360" w:lineRule="auto"/>
        <w:outlineLvl w:val="0"/>
        <w:rPr>
          <w:rFonts w:asciiTheme="minorHAnsi" w:hAnsiTheme="minorHAnsi" w:cs="Arial"/>
          <w:sz w:val="22"/>
          <w:szCs w:val="22"/>
        </w:rPr>
      </w:pPr>
    </w:p>
    <w:p w14:paraId="3C6B3A19" w14:textId="77777777" w:rsidR="006E01CB" w:rsidRPr="006E01CB" w:rsidRDefault="006E01CB">
      <w:pPr>
        <w:ind w:left="0"/>
        <w:rPr>
          <w:rFonts w:asciiTheme="minorHAnsi" w:hAnsiTheme="minorHAnsi" w:cs="Arial"/>
          <w:iCs/>
          <w:color w:val="000000"/>
          <w:sz w:val="22"/>
          <w:szCs w:val="22"/>
        </w:rPr>
      </w:pPr>
      <w:r w:rsidRPr="006E01CB">
        <w:rPr>
          <w:rFonts w:asciiTheme="minorHAnsi" w:hAnsiTheme="minorHAnsi" w:cs="Arial"/>
          <w:iCs/>
          <w:color w:val="000000"/>
          <w:sz w:val="22"/>
          <w:szCs w:val="22"/>
        </w:rPr>
        <w:br w:type="page"/>
      </w:r>
    </w:p>
    <w:p w14:paraId="78A09590" w14:textId="77777777" w:rsidR="000120EA" w:rsidRPr="006E01CB" w:rsidRDefault="000120EA" w:rsidP="003A2A1B">
      <w:pPr>
        <w:spacing w:line="360" w:lineRule="auto"/>
        <w:ind w:left="3119"/>
        <w:rPr>
          <w:rFonts w:asciiTheme="minorHAnsi" w:hAnsiTheme="minorHAnsi" w:cs="Arial"/>
          <w:iCs/>
          <w:color w:val="000000"/>
          <w:sz w:val="22"/>
          <w:szCs w:val="22"/>
        </w:rPr>
        <w:sectPr w:rsidR="000120EA" w:rsidRPr="006E01CB" w:rsidSect="008C0425">
          <w:headerReference w:type="default" r:id="rId10"/>
          <w:footerReference w:type="default" r:id="rId11"/>
          <w:headerReference w:type="first" r:id="rId12"/>
          <w:pgSz w:w="11907" w:h="16840" w:code="9"/>
          <w:pgMar w:top="3686" w:right="1134" w:bottom="709" w:left="1418" w:header="284" w:footer="609" w:gutter="0"/>
          <w:pgNumType w:start="1"/>
          <w:cols w:space="720"/>
          <w:titlePg/>
          <w:docGrid w:linePitch="272"/>
        </w:sectPr>
      </w:pPr>
    </w:p>
    <w:p w14:paraId="4396B644" w14:textId="77777777" w:rsidR="000120EA" w:rsidRPr="009D51E4" w:rsidRDefault="000120EA" w:rsidP="000120EA">
      <w:pPr>
        <w:tabs>
          <w:tab w:val="left" w:pos="-2268"/>
          <w:tab w:val="left" w:pos="426"/>
        </w:tabs>
        <w:spacing w:line="360" w:lineRule="auto"/>
        <w:ind w:left="0"/>
        <w:outlineLvl w:val="0"/>
        <w:rPr>
          <w:rFonts w:asciiTheme="minorHAnsi" w:hAnsiTheme="minorHAnsi" w:cs="Arial"/>
          <w:spacing w:val="0"/>
          <w:sz w:val="18"/>
          <w:szCs w:val="18"/>
          <w:lang w:eastAsia="pt-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sdt>
      <w:sdtPr>
        <w:rPr>
          <w:rFonts w:asciiTheme="minorHAnsi" w:hAnsiTheme="minorHAnsi"/>
          <w:sz w:val="18"/>
          <w:szCs w:val="18"/>
        </w:rPr>
        <w:id w:val="502397630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  <w:sz w:val="22"/>
          <w:szCs w:val="22"/>
        </w:rPr>
      </w:sdtEndPr>
      <w:sdtContent>
        <w:p w14:paraId="07DB1969" w14:textId="77777777" w:rsidR="0011462B" w:rsidRPr="009D51E4" w:rsidRDefault="0011462B" w:rsidP="0011462B">
          <w:pPr>
            <w:ind w:left="0"/>
            <w:rPr>
              <w:rFonts w:asciiTheme="minorHAnsi" w:hAnsiTheme="minorHAnsi"/>
              <w:b/>
              <w:color w:val="4BACC6" w:themeColor="accent5"/>
              <w:sz w:val="22"/>
              <w:szCs w:val="22"/>
            </w:rPr>
          </w:pPr>
          <w:r w:rsidRPr="009D51E4">
            <w:rPr>
              <w:rFonts w:asciiTheme="minorHAnsi" w:hAnsiTheme="minorHAnsi"/>
              <w:b/>
              <w:color w:val="4BACC6" w:themeColor="accent5"/>
              <w:sz w:val="22"/>
              <w:szCs w:val="22"/>
            </w:rPr>
            <w:t>Índice</w:t>
          </w:r>
        </w:p>
        <w:p w14:paraId="7B6A884A" w14:textId="77777777" w:rsidR="0011462B" w:rsidRPr="009D51E4" w:rsidRDefault="0011462B" w:rsidP="0011462B">
          <w:pPr>
            <w:ind w:left="0"/>
            <w:rPr>
              <w:rFonts w:asciiTheme="minorHAnsi" w:hAnsiTheme="minorHAnsi"/>
              <w:sz w:val="22"/>
              <w:szCs w:val="22"/>
            </w:rPr>
          </w:pPr>
        </w:p>
        <w:p w14:paraId="40FB7319" w14:textId="77777777" w:rsidR="009D51E4" w:rsidRPr="009D51E4" w:rsidRDefault="0011462B" w:rsidP="00930079">
          <w:pPr>
            <w:pStyle w:val="ndice1"/>
            <w:ind w:left="284" w:hanging="284"/>
            <w:rPr>
              <w:rFonts w:asciiTheme="minorHAnsi" w:eastAsiaTheme="minorEastAsia" w:hAnsiTheme="minorHAnsi" w:cstheme="minorBidi"/>
              <w:noProof/>
              <w:spacing w:val="0"/>
              <w:sz w:val="22"/>
              <w:szCs w:val="22"/>
              <w:lang w:eastAsia="pt-PT"/>
            </w:rPr>
          </w:pPr>
          <w:r w:rsidRPr="009D51E4">
            <w:rPr>
              <w:rFonts w:asciiTheme="minorHAnsi" w:hAnsiTheme="minorHAnsi"/>
              <w:sz w:val="22"/>
              <w:szCs w:val="22"/>
            </w:rPr>
            <w:fldChar w:fldCharType="begin"/>
          </w:r>
          <w:r w:rsidRPr="009D51E4">
            <w:rPr>
              <w:rFonts w:asciiTheme="minorHAnsi" w:hAnsiTheme="minorHAnsi"/>
              <w:sz w:val="22"/>
              <w:szCs w:val="22"/>
            </w:rPr>
            <w:instrText xml:space="preserve"> TOC \o "1-3" \h \z \u </w:instrText>
          </w:r>
          <w:r w:rsidRPr="009D51E4">
            <w:rPr>
              <w:rFonts w:asciiTheme="minorHAnsi" w:hAnsiTheme="minorHAnsi"/>
              <w:sz w:val="22"/>
              <w:szCs w:val="22"/>
            </w:rPr>
            <w:fldChar w:fldCharType="separate"/>
          </w:r>
          <w:hyperlink w:anchor="_Toc472438899" w:history="1">
            <w:r w:rsidR="009D51E4" w:rsidRPr="009D51E4">
              <w:rPr>
                <w:rStyle w:val="Hiperligao"/>
                <w:rFonts w:asciiTheme="minorHAnsi" w:eastAsia="Calibri" w:hAnsiTheme="minorHAnsi"/>
                <w:b/>
                <w:noProof/>
                <w:sz w:val="22"/>
                <w:szCs w:val="22"/>
              </w:rPr>
              <w:t>1.</w:t>
            </w:r>
            <w:r w:rsidR="009D51E4" w:rsidRPr="009D51E4">
              <w:rPr>
                <w:rFonts w:asciiTheme="minorHAnsi" w:eastAsiaTheme="minorEastAsia" w:hAnsiTheme="minorHAnsi" w:cstheme="minorBidi"/>
                <w:noProof/>
                <w:spacing w:val="0"/>
                <w:sz w:val="22"/>
                <w:szCs w:val="22"/>
                <w:lang w:eastAsia="pt-PT"/>
              </w:rPr>
              <w:tab/>
            </w:r>
            <w:r w:rsidR="009D51E4" w:rsidRPr="009D51E4">
              <w:rPr>
                <w:rStyle w:val="Hiperligao"/>
                <w:rFonts w:asciiTheme="minorHAnsi" w:eastAsia="Calibri" w:hAnsiTheme="minorHAnsi"/>
                <w:b/>
                <w:noProof/>
                <w:sz w:val="22"/>
                <w:szCs w:val="22"/>
              </w:rPr>
              <w:t>Enquadramento</w:t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_Toc472438899 \h </w:instrText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A0693A">
              <w:rPr>
                <w:rFonts w:asciiTheme="minorHAnsi" w:hAnsiTheme="minorHAnsi"/>
                <w:noProof/>
                <w:webHidden/>
                <w:sz w:val="22"/>
                <w:szCs w:val="22"/>
              </w:rPr>
              <w:t>5</w:t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97B556F" w14:textId="77777777" w:rsidR="009D51E4" w:rsidRPr="009D51E4" w:rsidRDefault="006E7748" w:rsidP="00930079">
          <w:pPr>
            <w:pStyle w:val="ndice1"/>
            <w:ind w:left="284" w:hanging="284"/>
            <w:rPr>
              <w:rFonts w:asciiTheme="minorHAnsi" w:eastAsiaTheme="minorEastAsia" w:hAnsiTheme="minorHAnsi" w:cstheme="minorBidi"/>
              <w:noProof/>
              <w:spacing w:val="0"/>
              <w:sz w:val="22"/>
              <w:szCs w:val="22"/>
              <w:lang w:eastAsia="pt-PT"/>
            </w:rPr>
          </w:pPr>
          <w:hyperlink w:anchor="_Toc472438900" w:history="1">
            <w:r w:rsidR="009D51E4" w:rsidRPr="009D51E4">
              <w:rPr>
                <w:rStyle w:val="Hiperligao"/>
                <w:rFonts w:asciiTheme="minorHAnsi" w:eastAsia="Calibri" w:hAnsiTheme="minorHAnsi"/>
                <w:b/>
                <w:noProof/>
                <w:sz w:val="22"/>
                <w:szCs w:val="22"/>
              </w:rPr>
              <w:t>2.</w:t>
            </w:r>
            <w:r w:rsidR="009D51E4" w:rsidRPr="009D51E4">
              <w:rPr>
                <w:rFonts w:asciiTheme="minorHAnsi" w:eastAsiaTheme="minorEastAsia" w:hAnsiTheme="minorHAnsi" w:cstheme="minorBidi"/>
                <w:noProof/>
                <w:spacing w:val="0"/>
                <w:sz w:val="22"/>
                <w:szCs w:val="22"/>
                <w:lang w:eastAsia="pt-PT"/>
              </w:rPr>
              <w:tab/>
            </w:r>
            <w:r w:rsidR="009D51E4" w:rsidRPr="009D51E4">
              <w:rPr>
                <w:rStyle w:val="Hiperligao"/>
                <w:rFonts w:asciiTheme="minorHAnsi" w:eastAsia="Calibri" w:hAnsiTheme="minorHAnsi"/>
                <w:b/>
                <w:noProof/>
                <w:sz w:val="22"/>
                <w:szCs w:val="22"/>
              </w:rPr>
              <w:t>Análise Financeira</w:t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_Toc472438900 \h </w:instrText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A0693A">
              <w:rPr>
                <w:rFonts w:asciiTheme="minorHAnsi" w:hAnsiTheme="minorHAnsi"/>
                <w:noProof/>
                <w:webHidden/>
                <w:sz w:val="22"/>
                <w:szCs w:val="22"/>
              </w:rPr>
              <w:t>6</w:t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B894483" w14:textId="77777777" w:rsidR="009D51E4" w:rsidRPr="009D51E4" w:rsidRDefault="006E7748" w:rsidP="00930079">
          <w:pPr>
            <w:pStyle w:val="ndice1"/>
            <w:ind w:left="284" w:hanging="284"/>
            <w:rPr>
              <w:rFonts w:asciiTheme="minorHAnsi" w:eastAsiaTheme="minorEastAsia" w:hAnsiTheme="minorHAnsi" w:cstheme="minorBidi"/>
              <w:noProof/>
              <w:spacing w:val="0"/>
              <w:sz w:val="22"/>
              <w:szCs w:val="22"/>
              <w:lang w:eastAsia="pt-PT"/>
            </w:rPr>
          </w:pPr>
          <w:hyperlink w:anchor="_Toc472438901" w:history="1">
            <w:r w:rsidR="009D51E4" w:rsidRPr="009D51E4">
              <w:rPr>
                <w:rStyle w:val="Hiperligao"/>
                <w:rFonts w:asciiTheme="minorHAnsi" w:eastAsia="Calibri" w:hAnsiTheme="minorHAnsi"/>
                <w:b/>
                <w:noProof/>
                <w:sz w:val="22"/>
                <w:szCs w:val="22"/>
              </w:rPr>
              <w:t>3.</w:t>
            </w:r>
            <w:r w:rsidR="009D51E4" w:rsidRPr="009D51E4">
              <w:rPr>
                <w:rFonts w:asciiTheme="minorHAnsi" w:eastAsiaTheme="minorEastAsia" w:hAnsiTheme="minorHAnsi" w:cstheme="minorBidi"/>
                <w:noProof/>
                <w:spacing w:val="0"/>
                <w:sz w:val="22"/>
                <w:szCs w:val="22"/>
                <w:lang w:eastAsia="pt-PT"/>
              </w:rPr>
              <w:tab/>
            </w:r>
            <w:r w:rsidR="009D51E4" w:rsidRPr="009D51E4">
              <w:rPr>
                <w:rStyle w:val="Hiperligao"/>
                <w:rFonts w:asciiTheme="minorHAnsi" w:eastAsia="Calibri" w:hAnsiTheme="minorHAnsi"/>
                <w:b/>
                <w:noProof/>
                <w:sz w:val="22"/>
                <w:szCs w:val="22"/>
              </w:rPr>
              <w:t>Operações geradoras de receitas não enquadráveis no artigo 61º e operações não geradoras de receitas</w:t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_Toc472438901 \h </w:instrText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A0693A">
              <w:rPr>
                <w:rFonts w:asciiTheme="minorHAnsi" w:hAnsiTheme="minorHAnsi"/>
                <w:noProof/>
                <w:webHidden/>
                <w:sz w:val="22"/>
                <w:szCs w:val="22"/>
              </w:rPr>
              <w:t>22</w:t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C16307A" w14:textId="77777777" w:rsidR="009D51E4" w:rsidRPr="009D51E4" w:rsidRDefault="006E7748" w:rsidP="00930079">
          <w:pPr>
            <w:pStyle w:val="ndice1"/>
            <w:ind w:left="284" w:hanging="284"/>
            <w:rPr>
              <w:rFonts w:asciiTheme="minorHAnsi" w:eastAsiaTheme="minorEastAsia" w:hAnsiTheme="minorHAnsi" w:cstheme="minorBidi"/>
              <w:noProof/>
              <w:spacing w:val="0"/>
              <w:sz w:val="22"/>
              <w:szCs w:val="22"/>
              <w:lang w:eastAsia="pt-PT"/>
            </w:rPr>
          </w:pPr>
          <w:hyperlink w:anchor="_Toc472438902" w:history="1">
            <w:r w:rsidR="009D51E4" w:rsidRPr="009D51E4">
              <w:rPr>
                <w:rStyle w:val="Hiperligao"/>
                <w:rFonts w:asciiTheme="minorHAnsi" w:eastAsia="Calibri" w:hAnsiTheme="minorHAnsi"/>
                <w:b/>
                <w:noProof/>
                <w:sz w:val="22"/>
                <w:szCs w:val="22"/>
              </w:rPr>
              <w:t>4.</w:t>
            </w:r>
            <w:r w:rsidR="009D51E4" w:rsidRPr="009D51E4">
              <w:rPr>
                <w:rFonts w:asciiTheme="minorHAnsi" w:eastAsiaTheme="minorEastAsia" w:hAnsiTheme="minorHAnsi" w:cstheme="minorBidi"/>
                <w:noProof/>
                <w:spacing w:val="0"/>
                <w:sz w:val="22"/>
                <w:szCs w:val="22"/>
                <w:lang w:eastAsia="pt-PT"/>
              </w:rPr>
              <w:tab/>
            </w:r>
            <w:r w:rsidR="009D51E4" w:rsidRPr="009D51E4">
              <w:rPr>
                <w:rStyle w:val="Hiperligao"/>
                <w:rFonts w:asciiTheme="minorHAnsi" w:eastAsia="Calibri" w:hAnsiTheme="minorHAnsi"/>
                <w:b/>
                <w:noProof/>
                <w:sz w:val="22"/>
                <w:szCs w:val="22"/>
              </w:rPr>
              <w:t>Acompanhamento e quantificação da receita líquida</w:t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_Toc472438902 \h </w:instrText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A0693A">
              <w:rPr>
                <w:rFonts w:asciiTheme="minorHAnsi" w:hAnsiTheme="minorHAnsi"/>
                <w:noProof/>
                <w:webHidden/>
                <w:sz w:val="22"/>
                <w:szCs w:val="22"/>
              </w:rPr>
              <w:t>23</w:t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A4E9ED3" w14:textId="77777777" w:rsidR="009D51E4" w:rsidRPr="009D51E4" w:rsidRDefault="006E7748" w:rsidP="00930079">
          <w:pPr>
            <w:pStyle w:val="ndice1"/>
            <w:ind w:left="284" w:hanging="284"/>
            <w:rPr>
              <w:rFonts w:asciiTheme="minorHAnsi" w:eastAsiaTheme="minorEastAsia" w:hAnsiTheme="minorHAnsi" w:cstheme="minorBidi"/>
              <w:noProof/>
              <w:spacing w:val="0"/>
              <w:sz w:val="22"/>
              <w:szCs w:val="22"/>
              <w:lang w:eastAsia="pt-PT"/>
            </w:rPr>
          </w:pPr>
          <w:hyperlink w:anchor="_Toc472438903" w:history="1">
            <w:r w:rsidR="009D51E4" w:rsidRPr="009D51E4">
              <w:rPr>
                <w:rStyle w:val="Hiperligao"/>
                <w:rFonts w:asciiTheme="minorHAnsi" w:eastAsia="Calibri" w:hAnsiTheme="minorHAnsi"/>
                <w:b/>
                <w:noProof/>
                <w:kern w:val="28"/>
                <w:sz w:val="22"/>
                <w:szCs w:val="22"/>
              </w:rPr>
              <w:t>5.</w:t>
            </w:r>
            <w:r w:rsidR="009D51E4" w:rsidRPr="009D51E4">
              <w:rPr>
                <w:rFonts w:asciiTheme="minorHAnsi" w:eastAsiaTheme="minorEastAsia" w:hAnsiTheme="minorHAnsi" w:cstheme="minorBidi"/>
                <w:noProof/>
                <w:spacing w:val="0"/>
                <w:sz w:val="22"/>
                <w:szCs w:val="22"/>
                <w:lang w:eastAsia="pt-PT"/>
              </w:rPr>
              <w:tab/>
            </w:r>
            <w:r w:rsidR="009D51E4" w:rsidRPr="009D51E4">
              <w:rPr>
                <w:rStyle w:val="Hiperligao"/>
                <w:rFonts w:asciiTheme="minorHAnsi" w:eastAsia="Calibri" w:hAnsiTheme="minorHAnsi"/>
                <w:b/>
                <w:noProof/>
                <w:sz w:val="22"/>
                <w:szCs w:val="22"/>
              </w:rPr>
              <w:t>Orientações para a elaboração da Análise Financeira da operação</w:t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  <w:tab/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begin"/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  <w:instrText xml:space="preserve"> PAGEREF _Toc472438903 \h </w:instrText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separate"/>
            </w:r>
            <w:r w:rsidR="00A0693A">
              <w:rPr>
                <w:rFonts w:asciiTheme="minorHAnsi" w:hAnsiTheme="minorHAnsi"/>
                <w:noProof/>
                <w:webHidden/>
                <w:sz w:val="22"/>
                <w:szCs w:val="22"/>
              </w:rPr>
              <w:t>25</w:t>
            </w:r>
            <w:r w:rsidR="009D51E4" w:rsidRPr="009D51E4">
              <w:rPr>
                <w:rFonts w:asciiTheme="minorHAnsi" w:hAnsi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52FCAB5" w14:textId="77777777" w:rsidR="0011462B" w:rsidRPr="009D51E4" w:rsidRDefault="0011462B" w:rsidP="00AD54DE">
          <w:pPr>
            <w:rPr>
              <w:b/>
              <w:bCs/>
              <w:sz w:val="22"/>
              <w:szCs w:val="22"/>
            </w:rPr>
          </w:pPr>
          <w:r w:rsidRPr="009D51E4">
            <w:rPr>
              <w:rFonts w:asciiTheme="minorHAnsi" w:hAnsiTheme="minorHAnsi"/>
              <w:b/>
              <w:bCs/>
              <w:sz w:val="22"/>
              <w:szCs w:val="22"/>
            </w:rPr>
            <w:fldChar w:fldCharType="end"/>
          </w:r>
        </w:p>
      </w:sdtContent>
    </w:sdt>
    <w:p w14:paraId="45807B96" w14:textId="77777777" w:rsidR="00AD54DE" w:rsidRPr="009D51E4" w:rsidRDefault="00AD54DE" w:rsidP="008E274E">
      <w:pPr>
        <w:rPr>
          <w:rFonts w:asciiTheme="minorHAnsi" w:hAnsiTheme="minorHAnsi"/>
          <w:sz w:val="22"/>
          <w:szCs w:val="22"/>
        </w:rPr>
      </w:pPr>
    </w:p>
    <w:p w14:paraId="6D1210D1" w14:textId="77777777" w:rsidR="00AD54DE" w:rsidRPr="009D51E4" w:rsidRDefault="00AD54DE" w:rsidP="009D51E4">
      <w:pPr>
        <w:spacing w:line="360" w:lineRule="auto"/>
        <w:ind w:left="284" w:hanging="284"/>
        <w:rPr>
          <w:rFonts w:asciiTheme="minorHAnsi" w:hAnsiTheme="minorHAnsi"/>
          <w:b/>
          <w:color w:val="4BACC6" w:themeColor="accent5"/>
          <w:sz w:val="22"/>
          <w:szCs w:val="22"/>
        </w:rPr>
      </w:pPr>
      <w:r w:rsidRPr="009D51E4">
        <w:rPr>
          <w:rFonts w:asciiTheme="minorHAnsi" w:hAnsiTheme="minorHAnsi"/>
          <w:b/>
          <w:color w:val="4BACC6" w:themeColor="accent5"/>
          <w:sz w:val="22"/>
          <w:szCs w:val="22"/>
        </w:rPr>
        <w:t>Anexos:</w:t>
      </w:r>
    </w:p>
    <w:p w14:paraId="691C0E45" w14:textId="77777777" w:rsidR="008E274E" w:rsidRPr="009D51E4" w:rsidRDefault="00AD54DE" w:rsidP="00930079">
      <w:pPr>
        <w:pStyle w:val="PargrafodaLista"/>
        <w:numPr>
          <w:ilvl w:val="0"/>
          <w:numId w:val="42"/>
        </w:numPr>
        <w:ind w:left="284" w:hanging="284"/>
        <w:rPr>
          <w:rFonts w:asciiTheme="minorHAnsi" w:hAnsiTheme="minorHAnsi" w:cs="Arial"/>
          <w:b/>
        </w:rPr>
      </w:pPr>
      <w:r w:rsidRPr="009D51E4">
        <w:rPr>
          <w:rFonts w:asciiTheme="minorHAnsi" w:hAnsiTheme="minorHAnsi" w:cs="Arial"/>
          <w:b/>
        </w:rPr>
        <w:t>Análise Financeira - Modelo de Apresentação (a preencher pelo Beneficiário)</w:t>
      </w:r>
    </w:p>
    <w:p w14:paraId="745C6014" w14:textId="77777777" w:rsidR="008E274E" w:rsidRPr="009D51E4" w:rsidRDefault="00AD54DE" w:rsidP="00930079">
      <w:pPr>
        <w:pStyle w:val="PargrafodaLista"/>
        <w:numPr>
          <w:ilvl w:val="0"/>
          <w:numId w:val="42"/>
        </w:numPr>
        <w:ind w:left="284" w:hanging="284"/>
        <w:rPr>
          <w:rFonts w:asciiTheme="minorHAnsi" w:hAnsiTheme="minorHAnsi" w:cs="Arial"/>
          <w:b/>
        </w:rPr>
      </w:pPr>
      <w:r w:rsidRPr="009D51E4">
        <w:rPr>
          <w:rFonts w:asciiTheme="minorHAnsi" w:hAnsiTheme="minorHAnsi" w:cs="Arial"/>
          <w:b/>
        </w:rPr>
        <w:t>Resultados da Análise Financeira</w:t>
      </w:r>
    </w:p>
    <w:p w14:paraId="16DED881" w14:textId="77777777" w:rsidR="008E274E" w:rsidRPr="009D51E4" w:rsidRDefault="00AD54DE" w:rsidP="00930079">
      <w:pPr>
        <w:pStyle w:val="PargrafodaLista"/>
        <w:numPr>
          <w:ilvl w:val="0"/>
          <w:numId w:val="42"/>
        </w:numPr>
        <w:ind w:left="284" w:hanging="284"/>
        <w:rPr>
          <w:rFonts w:asciiTheme="minorHAnsi" w:hAnsiTheme="minorHAnsi" w:cs="Arial"/>
          <w:b/>
        </w:rPr>
      </w:pPr>
      <w:r w:rsidRPr="009D51E4">
        <w:rPr>
          <w:rFonts w:asciiTheme="minorHAnsi" w:hAnsiTheme="minorHAnsi" w:cs="Arial"/>
          <w:b/>
        </w:rPr>
        <w:t xml:space="preserve">Apuramento do </w:t>
      </w:r>
      <w:r w:rsidRPr="009D51E4">
        <w:rPr>
          <w:rFonts w:asciiTheme="minorHAnsi" w:hAnsiTheme="minorHAnsi" w:cs="Arial"/>
          <w:b/>
          <w:i/>
        </w:rPr>
        <w:t xml:space="preserve">pro </w:t>
      </w:r>
      <w:proofErr w:type="gramStart"/>
      <w:r w:rsidRPr="009D51E4">
        <w:rPr>
          <w:rFonts w:asciiTheme="minorHAnsi" w:hAnsiTheme="minorHAnsi" w:cs="Arial"/>
          <w:b/>
          <w:i/>
        </w:rPr>
        <w:t>rata</w:t>
      </w:r>
      <w:proofErr w:type="gramEnd"/>
      <w:r w:rsidRPr="009D51E4">
        <w:rPr>
          <w:rFonts w:asciiTheme="minorHAnsi" w:hAnsiTheme="minorHAnsi" w:cs="Arial"/>
          <w:b/>
        </w:rPr>
        <w:t xml:space="preserve"> da receita líquida atualizada (Défice de Financiamento)</w:t>
      </w:r>
    </w:p>
    <w:p w14:paraId="7E247C70" w14:textId="77777777" w:rsidR="00AD54DE" w:rsidRPr="00C8694A" w:rsidRDefault="00AD54DE" w:rsidP="00930079">
      <w:pPr>
        <w:pStyle w:val="PargrafodaLista"/>
        <w:numPr>
          <w:ilvl w:val="0"/>
          <w:numId w:val="42"/>
        </w:numPr>
        <w:ind w:left="284" w:hanging="284"/>
        <w:rPr>
          <w:rFonts w:asciiTheme="minorHAnsi" w:hAnsiTheme="minorHAnsi" w:cs="Arial"/>
          <w:b/>
        </w:rPr>
      </w:pPr>
      <w:r w:rsidRPr="009D51E4">
        <w:rPr>
          <w:rFonts w:asciiTheme="minorHAnsi" w:hAnsiTheme="minorHAnsi" w:cs="Arial"/>
          <w:b/>
          <w:color w:val="000000" w:themeColor="text1"/>
          <w:lang w:eastAsia="pt-PT"/>
          <w14:textOutline w14:w="0" w14:cap="flat" w14:cmpd="sng" w14:algn="ctr">
            <w14:noFill/>
            <w14:prstDash w14:val="solid"/>
            <w14:round/>
          </w14:textOutline>
        </w:rPr>
        <w:t>Orientações para a elaboração da Memória Descritiva de enquadramento ao EVF</w:t>
      </w:r>
    </w:p>
    <w:p w14:paraId="17D0766E" w14:textId="6C5CE04A" w:rsidR="00C8694A" w:rsidRPr="009D51E4" w:rsidRDefault="00C8694A" w:rsidP="00930079">
      <w:pPr>
        <w:pStyle w:val="PargrafodaLista"/>
        <w:numPr>
          <w:ilvl w:val="0"/>
          <w:numId w:val="42"/>
        </w:numPr>
        <w:ind w:left="284" w:hanging="284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  <w:color w:val="000000" w:themeColor="text1"/>
          <w:lang w:eastAsia="pt-PT"/>
          <w14:textOutline w14:w="0" w14:cap="flat" w14:cmpd="sng" w14:algn="ctr">
            <w14:noFill/>
            <w14:prstDash w14:val="solid"/>
            <w14:round/>
          </w14:textOutline>
        </w:rPr>
        <w:t>Declaração de Sustentabilidade</w:t>
      </w:r>
    </w:p>
    <w:p w14:paraId="58C6E200" w14:textId="77777777" w:rsidR="00AD54DE" w:rsidRDefault="00AD54DE" w:rsidP="000120EA">
      <w:pPr>
        <w:ind w:left="0"/>
        <w:rPr>
          <w:rFonts w:asciiTheme="minorHAnsi" w:hAnsiTheme="minorHAnsi"/>
          <w:b/>
          <w:color w:val="4BACC6" w:themeColor="accent5"/>
        </w:rPr>
      </w:pPr>
    </w:p>
    <w:p w14:paraId="60D90A04" w14:textId="77777777" w:rsidR="00AD54DE" w:rsidRDefault="00AD54DE" w:rsidP="000120EA">
      <w:pPr>
        <w:ind w:left="0"/>
        <w:rPr>
          <w:rFonts w:asciiTheme="minorHAnsi" w:hAnsiTheme="minorHAnsi"/>
          <w:b/>
          <w:color w:val="4BACC6" w:themeColor="accent5"/>
        </w:rPr>
      </w:pPr>
    </w:p>
    <w:p w14:paraId="01622A80" w14:textId="77777777" w:rsidR="00AD54DE" w:rsidRDefault="00AD54DE" w:rsidP="000120EA">
      <w:pPr>
        <w:ind w:left="0"/>
        <w:rPr>
          <w:rFonts w:asciiTheme="minorHAnsi" w:hAnsiTheme="minorHAnsi"/>
          <w:b/>
          <w:color w:val="4BACC6" w:themeColor="accent5"/>
        </w:rPr>
      </w:pPr>
    </w:p>
    <w:p w14:paraId="2E052B52" w14:textId="77777777" w:rsidR="000120EA" w:rsidRPr="000120EA" w:rsidRDefault="000120EA" w:rsidP="000120EA">
      <w:pPr>
        <w:ind w:left="0"/>
        <w:rPr>
          <w:rFonts w:asciiTheme="minorHAnsi" w:hAnsiTheme="minorHAnsi"/>
          <w:b/>
          <w:color w:val="262626" w:themeColor="text1" w:themeTint="D9"/>
        </w:rPr>
      </w:pPr>
      <w:r w:rsidRPr="000120EA">
        <w:rPr>
          <w:rFonts w:asciiTheme="minorHAnsi" w:hAnsiTheme="minorHAnsi"/>
          <w:b/>
          <w:color w:val="4BACC6" w:themeColor="accent5"/>
        </w:rPr>
        <w:br w:type="page"/>
      </w:r>
    </w:p>
    <w:p w14:paraId="175BB2D2" w14:textId="77777777" w:rsidR="000120EA" w:rsidRPr="000120EA" w:rsidRDefault="000120EA" w:rsidP="000120EA">
      <w:pPr>
        <w:spacing w:before="120" w:after="120" w:line="360" w:lineRule="auto"/>
        <w:ind w:left="0"/>
        <w:contextualSpacing/>
        <w:rPr>
          <w:rFonts w:asciiTheme="minorHAnsi" w:eastAsia="Calibri" w:hAnsiTheme="minorHAnsi"/>
          <w:b/>
          <w:color w:val="4BACC6" w:themeColor="accent5"/>
          <w:spacing w:val="0"/>
          <w:sz w:val="22"/>
          <w:szCs w:val="22"/>
        </w:rPr>
      </w:pPr>
      <w:r w:rsidRPr="000120EA">
        <w:rPr>
          <w:rFonts w:asciiTheme="minorHAnsi" w:eastAsia="Calibri" w:hAnsiTheme="minorHAnsi"/>
          <w:b/>
          <w:color w:val="4BACC6" w:themeColor="accent5"/>
          <w:spacing w:val="0"/>
          <w:sz w:val="22"/>
          <w:szCs w:val="22"/>
        </w:rPr>
        <w:lastRenderedPageBreak/>
        <w:t>Referências documentais e normativas</w:t>
      </w:r>
    </w:p>
    <w:p w14:paraId="33E7F2F3" w14:textId="77777777" w:rsidR="000120EA" w:rsidRPr="000120EA" w:rsidRDefault="000120EA" w:rsidP="000120EA">
      <w:pPr>
        <w:spacing w:before="120" w:after="120" w:line="360" w:lineRule="auto"/>
        <w:ind w:left="0"/>
        <w:contextualSpacing/>
        <w:rPr>
          <w:rFonts w:asciiTheme="minorHAnsi" w:eastAsia="Calibri" w:hAnsiTheme="minorHAnsi"/>
          <w:b/>
          <w:color w:val="7F7F7F" w:themeColor="text1" w:themeTint="80"/>
          <w:spacing w:val="0"/>
          <w:sz w:val="22"/>
          <w:szCs w:val="22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0031"/>
      </w:tblGrid>
      <w:tr w:rsidR="000120EA" w:rsidRPr="000120EA" w14:paraId="590B342D" w14:textId="77777777" w:rsidTr="003E4060">
        <w:tc>
          <w:tcPr>
            <w:tcW w:w="10031" w:type="dxa"/>
          </w:tcPr>
          <w:p w14:paraId="64602F80" w14:textId="77777777" w:rsidR="000120EA" w:rsidRPr="000120EA" w:rsidRDefault="000120EA" w:rsidP="000120EA">
            <w:pPr>
              <w:spacing w:before="100" w:beforeAutospacing="1" w:after="100" w:afterAutospacing="1"/>
              <w:ind w:left="0"/>
              <w:contextualSpacing/>
              <w:rPr>
                <w:rFonts w:asciiTheme="minorHAnsi" w:eastAsia="Calibri" w:hAnsiTheme="minorHAnsi"/>
                <w:b/>
                <w:color w:val="595959" w:themeColor="text1" w:themeTint="A6"/>
                <w:spacing w:val="0"/>
                <w:sz w:val="22"/>
                <w:szCs w:val="22"/>
              </w:rPr>
            </w:pPr>
            <w:r w:rsidRPr="000120EA">
              <w:rPr>
                <w:rFonts w:asciiTheme="minorHAnsi" w:eastAsia="Calibri" w:hAnsiTheme="minorHAnsi"/>
                <w:b/>
                <w:color w:val="595959" w:themeColor="text1" w:themeTint="A6"/>
                <w:spacing w:val="0"/>
                <w:sz w:val="22"/>
                <w:szCs w:val="22"/>
              </w:rPr>
              <w:t>Regulamento (UE) nº 1303/2013, de 17 de Dezembro - Disposições Comuns</w:t>
            </w:r>
          </w:p>
        </w:tc>
      </w:tr>
      <w:tr w:rsidR="000120EA" w:rsidRPr="000120EA" w14:paraId="57D4CDDF" w14:textId="77777777" w:rsidTr="003E4060">
        <w:tc>
          <w:tcPr>
            <w:tcW w:w="10031" w:type="dxa"/>
          </w:tcPr>
          <w:p w14:paraId="1DDD8F72" w14:textId="77777777" w:rsidR="000120EA" w:rsidRPr="000120EA" w:rsidRDefault="000120EA" w:rsidP="000120EA">
            <w:pPr>
              <w:spacing w:before="100" w:beforeAutospacing="1" w:after="100" w:afterAutospacing="1"/>
              <w:ind w:left="0"/>
              <w:jc w:val="both"/>
              <w:rPr>
                <w:rFonts w:asciiTheme="minorHAnsi" w:hAnsiTheme="minorHAnsi"/>
                <w:b/>
                <w:color w:val="595959" w:themeColor="text1" w:themeTint="A6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b/>
                <w:color w:val="595959" w:themeColor="text1" w:themeTint="A6"/>
                <w:sz w:val="22"/>
                <w:szCs w:val="22"/>
              </w:rPr>
              <w:t>Regulamento Delegado (UE) nº 480/2014</w:t>
            </w:r>
          </w:p>
        </w:tc>
      </w:tr>
      <w:tr w:rsidR="000120EA" w:rsidRPr="000120EA" w14:paraId="5FB2ACA6" w14:textId="77777777" w:rsidTr="003E4060">
        <w:tc>
          <w:tcPr>
            <w:tcW w:w="10031" w:type="dxa"/>
          </w:tcPr>
          <w:p w14:paraId="19EACC77" w14:textId="77777777" w:rsidR="000120EA" w:rsidRPr="000120EA" w:rsidRDefault="000120EA" w:rsidP="000120EA">
            <w:pPr>
              <w:autoSpaceDE w:val="0"/>
              <w:autoSpaceDN w:val="0"/>
              <w:adjustRightInd w:val="0"/>
              <w:spacing w:before="100" w:beforeAutospacing="1" w:after="100" w:afterAutospacing="1"/>
              <w:ind w:left="0"/>
              <w:rPr>
                <w:rFonts w:asciiTheme="minorHAnsi" w:hAnsiTheme="minorHAnsi" w:cstheme="minorBidi"/>
                <w:b/>
                <w:color w:val="595959" w:themeColor="text1" w:themeTint="A6"/>
                <w:spacing w:val="0"/>
                <w:sz w:val="22"/>
                <w:szCs w:val="22"/>
                <w:lang w:eastAsia="pt-PT"/>
              </w:rPr>
            </w:pPr>
            <w:r w:rsidRPr="000120EA">
              <w:rPr>
                <w:rFonts w:asciiTheme="minorHAnsi" w:hAnsiTheme="minorHAnsi" w:cstheme="minorBidi"/>
                <w:b/>
                <w:color w:val="595959" w:themeColor="text1" w:themeTint="A6"/>
                <w:spacing w:val="0"/>
                <w:sz w:val="22"/>
                <w:szCs w:val="22"/>
                <w:lang w:eastAsia="pt-PT"/>
              </w:rPr>
              <w:t>Regulamento de Execução (UE) 2015/207 da Comissão, de 20 de janeiro de 2015</w:t>
            </w:r>
          </w:p>
        </w:tc>
      </w:tr>
      <w:tr w:rsidR="000120EA" w:rsidRPr="000120EA" w14:paraId="71E45865" w14:textId="77777777" w:rsidTr="003E4060">
        <w:tc>
          <w:tcPr>
            <w:tcW w:w="10031" w:type="dxa"/>
          </w:tcPr>
          <w:p w14:paraId="649637B7" w14:textId="77777777" w:rsidR="000120EA" w:rsidRPr="000120EA" w:rsidRDefault="000120EA" w:rsidP="000120EA">
            <w:pPr>
              <w:autoSpaceDE w:val="0"/>
              <w:autoSpaceDN w:val="0"/>
              <w:adjustRightInd w:val="0"/>
              <w:ind w:left="0"/>
              <w:rPr>
                <w:rFonts w:ascii="Arial-BoldMT" w:eastAsia="SimSun" w:hAnsi="Arial-BoldMT" w:cs="Arial-BoldMT"/>
                <w:b/>
                <w:bCs/>
                <w:color w:val="595959" w:themeColor="text1" w:themeTint="A6"/>
                <w:spacing w:val="0"/>
                <w:sz w:val="21"/>
                <w:szCs w:val="21"/>
                <w:lang w:eastAsia="pt-PT"/>
              </w:rPr>
            </w:pPr>
            <w:r w:rsidRPr="000120EA">
              <w:rPr>
                <w:rFonts w:asciiTheme="minorHAnsi" w:hAnsiTheme="minorHAnsi"/>
                <w:b/>
                <w:color w:val="595959" w:themeColor="text1" w:themeTint="A6"/>
                <w:sz w:val="22"/>
                <w:szCs w:val="22"/>
              </w:rPr>
              <w:t>Decreto-Lei n.º 159/2014 de 27 de outubro</w:t>
            </w:r>
          </w:p>
        </w:tc>
      </w:tr>
      <w:tr w:rsidR="000120EA" w:rsidRPr="000120EA" w14:paraId="492AC6BB" w14:textId="77777777" w:rsidTr="003E4060">
        <w:tc>
          <w:tcPr>
            <w:tcW w:w="10031" w:type="dxa"/>
          </w:tcPr>
          <w:p w14:paraId="602010A0" w14:textId="77777777" w:rsidR="000120EA" w:rsidRPr="000120EA" w:rsidRDefault="000120EA" w:rsidP="000120EA">
            <w:pPr>
              <w:ind w:left="0"/>
              <w:rPr>
                <w:rFonts w:asciiTheme="minorHAnsi" w:hAnsiTheme="minorHAnsi" w:cstheme="minorBidi"/>
                <w:b/>
                <w:color w:val="595959" w:themeColor="text1" w:themeTint="A6"/>
                <w:spacing w:val="0"/>
                <w:sz w:val="22"/>
                <w:szCs w:val="22"/>
                <w:lang w:eastAsia="pt-PT"/>
              </w:rPr>
            </w:pPr>
            <w:r w:rsidRPr="000120EA">
              <w:rPr>
                <w:rFonts w:asciiTheme="minorHAnsi" w:hAnsiTheme="minorHAnsi" w:cstheme="minorBidi"/>
                <w:b/>
                <w:color w:val="595959" w:themeColor="text1" w:themeTint="A6"/>
                <w:spacing w:val="0"/>
                <w:sz w:val="22"/>
                <w:szCs w:val="22"/>
                <w:lang w:eastAsia="pt-PT"/>
              </w:rPr>
              <w:t>Portaria nº 57-B/2015 de 27 de fevereiro</w:t>
            </w:r>
          </w:p>
        </w:tc>
      </w:tr>
      <w:tr w:rsidR="000120EA" w:rsidRPr="00922E61" w14:paraId="4B459213" w14:textId="77777777" w:rsidTr="003E4060">
        <w:tc>
          <w:tcPr>
            <w:tcW w:w="10031" w:type="dxa"/>
          </w:tcPr>
          <w:p w14:paraId="0916D066" w14:textId="77777777" w:rsidR="000120EA" w:rsidRPr="000120EA" w:rsidRDefault="000120EA" w:rsidP="000120EA">
            <w:pPr>
              <w:autoSpaceDE w:val="0"/>
              <w:autoSpaceDN w:val="0"/>
              <w:adjustRightInd w:val="0"/>
              <w:spacing w:before="100" w:beforeAutospacing="1" w:after="100" w:afterAutospacing="1"/>
              <w:ind w:left="0"/>
              <w:rPr>
                <w:rFonts w:asciiTheme="minorHAnsi" w:hAnsiTheme="minorHAnsi" w:cstheme="minorBidi"/>
                <w:b/>
                <w:color w:val="595959" w:themeColor="text1" w:themeTint="A6"/>
                <w:spacing w:val="0"/>
                <w:sz w:val="22"/>
                <w:szCs w:val="22"/>
                <w:lang w:val="en-US" w:eastAsia="pt-PT"/>
              </w:rPr>
            </w:pPr>
            <w:r w:rsidRPr="000120EA">
              <w:rPr>
                <w:rFonts w:asciiTheme="minorHAnsi" w:hAnsiTheme="minorHAnsi" w:cstheme="minorBidi"/>
                <w:b/>
                <w:color w:val="595959" w:themeColor="text1" w:themeTint="A6"/>
                <w:spacing w:val="0"/>
                <w:sz w:val="22"/>
                <w:szCs w:val="22"/>
                <w:lang w:val="en-US" w:eastAsia="pt-PT"/>
              </w:rPr>
              <w:t>Guide to Cost-</w:t>
            </w:r>
            <w:r w:rsidR="00A542C9">
              <w:rPr>
                <w:rFonts w:asciiTheme="minorHAnsi" w:hAnsiTheme="minorHAnsi" w:cstheme="minorBidi"/>
                <w:b/>
                <w:color w:val="595959" w:themeColor="text1" w:themeTint="A6"/>
                <w:spacing w:val="0"/>
                <w:sz w:val="22"/>
                <w:szCs w:val="22"/>
                <w:lang w:val="en-US" w:eastAsia="pt-PT"/>
              </w:rPr>
              <w:t>B</w:t>
            </w:r>
            <w:r w:rsidRPr="000120EA">
              <w:rPr>
                <w:rFonts w:asciiTheme="minorHAnsi" w:hAnsiTheme="minorHAnsi" w:cstheme="minorBidi"/>
                <w:b/>
                <w:color w:val="595959" w:themeColor="text1" w:themeTint="A6"/>
                <w:spacing w:val="0"/>
                <w:sz w:val="22"/>
                <w:szCs w:val="22"/>
                <w:lang w:val="en-US" w:eastAsia="pt-PT"/>
              </w:rPr>
              <w:t>enefit Analysis of Investment Projects – December 2014</w:t>
            </w:r>
          </w:p>
        </w:tc>
      </w:tr>
      <w:tr w:rsidR="000120EA" w:rsidRPr="000120EA" w14:paraId="2A02E791" w14:textId="77777777" w:rsidTr="003E4060">
        <w:tc>
          <w:tcPr>
            <w:tcW w:w="10031" w:type="dxa"/>
          </w:tcPr>
          <w:p w14:paraId="4701C582" w14:textId="77777777" w:rsidR="000120EA" w:rsidRPr="000120EA" w:rsidRDefault="000120EA" w:rsidP="000120EA">
            <w:pPr>
              <w:autoSpaceDE w:val="0"/>
              <w:autoSpaceDN w:val="0"/>
              <w:adjustRightInd w:val="0"/>
              <w:spacing w:before="100" w:beforeAutospacing="1" w:after="100" w:afterAutospacing="1"/>
              <w:ind w:left="0"/>
              <w:rPr>
                <w:rFonts w:asciiTheme="minorHAnsi" w:hAnsiTheme="minorHAnsi" w:cstheme="minorBidi"/>
                <w:b/>
                <w:color w:val="595959" w:themeColor="text1" w:themeTint="A6"/>
                <w:spacing w:val="0"/>
                <w:sz w:val="22"/>
                <w:szCs w:val="22"/>
                <w:lang w:eastAsia="pt-PT"/>
              </w:rPr>
            </w:pPr>
            <w:r w:rsidRPr="000120EA">
              <w:rPr>
                <w:rFonts w:asciiTheme="minorHAnsi" w:hAnsiTheme="minorHAnsi" w:cstheme="minorBidi"/>
                <w:b/>
                <w:color w:val="595959" w:themeColor="text1" w:themeTint="A6"/>
                <w:spacing w:val="0"/>
                <w:sz w:val="22"/>
                <w:szCs w:val="22"/>
                <w:lang w:eastAsia="pt-PT"/>
              </w:rPr>
              <w:t>Norma N.º 02/AD&amp;C/2015 - 2015/03/20 – Verificações de Gestão</w:t>
            </w:r>
          </w:p>
        </w:tc>
      </w:tr>
      <w:tr w:rsidR="000120EA" w:rsidRPr="00922E61" w14:paraId="0F25030A" w14:textId="77777777" w:rsidTr="003E4060">
        <w:tc>
          <w:tcPr>
            <w:tcW w:w="10031" w:type="dxa"/>
          </w:tcPr>
          <w:p w14:paraId="4C7A6943" w14:textId="77777777" w:rsidR="000120EA" w:rsidRPr="000120EA" w:rsidRDefault="000120EA" w:rsidP="000120EA">
            <w:pPr>
              <w:spacing w:before="100" w:beforeAutospacing="1" w:after="100" w:afterAutospacing="1"/>
              <w:ind w:left="0"/>
              <w:contextualSpacing/>
              <w:jc w:val="both"/>
              <w:rPr>
                <w:rFonts w:asciiTheme="minorHAnsi" w:hAnsiTheme="minorHAnsi"/>
                <w:b/>
                <w:bCs/>
                <w:color w:val="595959" w:themeColor="text1" w:themeTint="A6"/>
                <w:sz w:val="22"/>
                <w:szCs w:val="22"/>
                <w:lang w:val="en-US"/>
              </w:rPr>
            </w:pPr>
            <w:r w:rsidRPr="000120EA">
              <w:rPr>
                <w:rFonts w:asciiTheme="minorHAnsi" w:hAnsiTheme="minorHAnsi"/>
                <w:b/>
                <w:bCs/>
                <w:color w:val="595959" w:themeColor="text1" w:themeTint="A6"/>
                <w:sz w:val="22"/>
                <w:szCs w:val="22"/>
                <w:lang w:val="en-US"/>
              </w:rPr>
              <w:t>Guidance for Member States on management verifications – EGESIF_14-0012, 6/01/2015</w:t>
            </w:r>
          </w:p>
        </w:tc>
      </w:tr>
      <w:tr w:rsidR="000120EA" w:rsidRPr="000120EA" w14:paraId="7E73CCF4" w14:textId="77777777" w:rsidTr="003E4060">
        <w:tc>
          <w:tcPr>
            <w:tcW w:w="10031" w:type="dxa"/>
          </w:tcPr>
          <w:p w14:paraId="19F245FD" w14:textId="77777777" w:rsidR="000120EA" w:rsidRPr="000120EA" w:rsidRDefault="000120EA" w:rsidP="000120EA">
            <w:pPr>
              <w:spacing w:before="100" w:beforeAutospacing="1" w:after="100" w:afterAutospacing="1"/>
              <w:ind w:left="0"/>
              <w:contextualSpacing/>
              <w:jc w:val="both"/>
              <w:rPr>
                <w:rFonts w:asciiTheme="minorHAnsi" w:hAnsiTheme="minorHAnsi"/>
                <w:b/>
                <w:bCs/>
                <w:color w:val="595959" w:themeColor="text1" w:themeTint="A6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b/>
                <w:bCs/>
                <w:color w:val="595959" w:themeColor="text1" w:themeTint="A6"/>
                <w:sz w:val="22"/>
                <w:szCs w:val="22"/>
              </w:rPr>
              <w:t>Guia Técnico 16/ERSAR – Gestão patrimonial de infraestruturas de abastecimento de água</w:t>
            </w:r>
          </w:p>
        </w:tc>
      </w:tr>
      <w:tr w:rsidR="000120EA" w:rsidRPr="000120EA" w14:paraId="517D5325" w14:textId="77777777" w:rsidTr="003E4060">
        <w:tc>
          <w:tcPr>
            <w:tcW w:w="10031" w:type="dxa"/>
          </w:tcPr>
          <w:p w14:paraId="3B8AA8DF" w14:textId="77777777" w:rsidR="000120EA" w:rsidRPr="000120EA" w:rsidRDefault="000120EA" w:rsidP="000120EA">
            <w:pPr>
              <w:spacing w:before="100" w:beforeAutospacing="1" w:after="100" w:afterAutospacing="1"/>
              <w:ind w:left="0"/>
              <w:contextualSpacing/>
              <w:jc w:val="both"/>
              <w:rPr>
                <w:rFonts w:asciiTheme="minorHAnsi" w:hAnsiTheme="minorHAnsi"/>
                <w:b/>
                <w:bCs/>
                <w:i/>
                <w:color w:val="595959" w:themeColor="text1" w:themeTint="A6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b/>
                <w:bCs/>
                <w:color w:val="595959" w:themeColor="text1" w:themeTint="A6"/>
                <w:sz w:val="22"/>
                <w:szCs w:val="22"/>
              </w:rPr>
              <w:t>Guia Técnico 17/ERSAR – Gestão patrimonial de infraestruturas de águas residuais e pluviais</w:t>
            </w:r>
          </w:p>
        </w:tc>
      </w:tr>
      <w:tr w:rsidR="000120EA" w:rsidRPr="000120EA" w14:paraId="1AB394DB" w14:textId="77777777" w:rsidTr="003E4060">
        <w:tc>
          <w:tcPr>
            <w:tcW w:w="10031" w:type="dxa"/>
          </w:tcPr>
          <w:p w14:paraId="4FEB8E01" w14:textId="77777777" w:rsidR="000120EA" w:rsidRPr="000120EA" w:rsidRDefault="000120EA" w:rsidP="000120EA">
            <w:pPr>
              <w:spacing w:before="100" w:beforeAutospacing="1" w:after="100" w:afterAutospacing="1"/>
              <w:ind w:left="0"/>
              <w:contextualSpacing/>
              <w:rPr>
                <w:rFonts w:asciiTheme="minorHAnsi" w:eastAsia="Calibri" w:hAnsiTheme="minorHAnsi"/>
                <w:b/>
                <w:color w:val="595959" w:themeColor="text1" w:themeTint="A6"/>
                <w:spacing w:val="0"/>
                <w:sz w:val="22"/>
                <w:szCs w:val="22"/>
              </w:rPr>
            </w:pPr>
            <w:r w:rsidRPr="000120EA">
              <w:rPr>
                <w:rFonts w:asciiTheme="minorHAnsi" w:eastAsia="Calibri" w:hAnsiTheme="minorHAnsi"/>
                <w:b/>
                <w:bCs/>
                <w:color w:val="595959" w:themeColor="text1" w:themeTint="A6"/>
                <w:spacing w:val="0"/>
                <w:sz w:val="22"/>
                <w:szCs w:val="22"/>
              </w:rPr>
              <w:t xml:space="preserve">Guia Técnico 18/ERSAR </w:t>
            </w:r>
            <w:r w:rsidRPr="000120EA">
              <w:rPr>
                <w:rFonts w:asciiTheme="minorHAnsi" w:eastAsia="Calibri" w:hAnsiTheme="minorHAnsi"/>
                <w:b/>
                <w:bCs/>
                <w:i/>
                <w:color w:val="595959" w:themeColor="text1" w:themeTint="A6"/>
                <w:spacing w:val="0"/>
                <w:sz w:val="22"/>
                <w:szCs w:val="22"/>
              </w:rPr>
              <w:t xml:space="preserve">– </w:t>
            </w:r>
            <w:r w:rsidRPr="000120EA">
              <w:rPr>
                <w:rFonts w:asciiTheme="minorHAnsi" w:eastAsia="Calibri" w:hAnsiTheme="minorHAnsi"/>
                <w:b/>
                <w:bCs/>
                <w:color w:val="595959" w:themeColor="text1" w:themeTint="A6"/>
                <w:spacing w:val="0"/>
                <w:sz w:val="22"/>
                <w:szCs w:val="22"/>
              </w:rPr>
              <w:t>Apuramento de custos e proveitos dos serviços de águas e resíduos prestados por entidades gestoras em modelo de gestão direta</w:t>
            </w:r>
          </w:p>
        </w:tc>
      </w:tr>
    </w:tbl>
    <w:p w14:paraId="76625CE3" w14:textId="77777777" w:rsidR="000120EA" w:rsidRPr="000120EA" w:rsidRDefault="000120EA" w:rsidP="000120EA">
      <w:pPr>
        <w:autoSpaceDE w:val="0"/>
        <w:autoSpaceDN w:val="0"/>
        <w:adjustRightInd w:val="0"/>
        <w:rPr>
          <w:rFonts w:asciiTheme="minorHAnsi" w:hAnsiTheme="minorHAnsi" w:cs="EUAlbertina"/>
          <w:color w:val="7F7F7F" w:themeColor="text1" w:themeTint="80"/>
          <w:sz w:val="24"/>
          <w:szCs w:val="24"/>
        </w:rPr>
      </w:pPr>
    </w:p>
    <w:p w14:paraId="36926DAC" w14:textId="77777777" w:rsidR="000120EA" w:rsidRPr="000120EA" w:rsidRDefault="000120EA" w:rsidP="000120EA">
      <w:pPr>
        <w:autoSpaceDE w:val="0"/>
        <w:autoSpaceDN w:val="0"/>
        <w:adjustRightInd w:val="0"/>
        <w:rPr>
          <w:rFonts w:asciiTheme="minorHAnsi" w:hAnsiTheme="minorHAnsi" w:cs="EUAlbertina"/>
          <w:color w:val="000000"/>
          <w:sz w:val="24"/>
          <w:szCs w:val="24"/>
        </w:rPr>
      </w:pPr>
    </w:p>
    <w:p w14:paraId="2A86270B" w14:textId="77777777" w:rsidR="000120EA" w:rsidRPr="000120EA" w:rsidRDefault="000120EA" w:rsidP="000120EA">
      <w:pPr>
        <w:rPr>
          <w:rFonts w:asciiTheme="minorHAnsi" w:hAnsiTheme="minorHAnsi"/>
          <w:b/>
          <w:color w:val="92D050"/>
        </w:rPr>
      </w:pPr>
      <w:r w:rsidRPr="000120EA">
        <w:rPr>
          <w:rFonts w:asciiTheme="minorHAnsi" w:hAnsiTheme="minorHAnsi"/>
          <w:b/>
          <w:color w:val="92D050"/>
        </w:rPr>
        <w:br w:type="page"/>
      </w:r>
    </w:p>
    <w:p w14:paraId="77949660" w14:textId="77777777" w:rsidR="000120EA" w:rsidRDefault="000120EA" w:rsidP="003E4060">
      <w:pPr>
        <w:numPr>
          <w:ilvl w:val="0"/>
          <w:numId w:val="13"/>
        </w:numPr>
        <w:spacing w:before="120" w:after="120" w:line="360" w:lineRule="auto"/>
        <w:ind w:left="426" w:hanging="426"/>
        <w:contextualSpacing/>
        <w:outlineLvl w:val="0"/>
        <w:rPr>
          <w:rFonts w:asciiTheme="minorHAnsi" w:eastAsia="Calibri" w:hAnsiTheme="minorHAnsi"/>
          <w:b/>
          <w:color w:val="4BACC6" w:themeColor="accent5"/>
          <w:spacing w:val="0"/>
          <w:sz w:val="22"/>
          <w:szCs w:val="22"/>
        </w:rPr>
      </w:pPr>
      <w:bookmarkStart w:id="1" w:name="_Toc472438899"/>
      <w:r w:rsidRPr="000120EA">
        <w:rPr>
          <w:rFonts w:asciiTheme="minorHAnsi" w:eastAsia="Calibri" w:hAnsiTheme="minorHAnsi"/>
          <w:b/>
          <w:color w:val="4BACC6" w:themeColor="accent5"/>
          <w:spacing w:val="0"/>
          <w:sz w:val="22"/>
          <w:szCs w:val="22"/>
        </w:rPr>
        <w:lastRenderedPageBreak/>
        <w:t>Enquadramento</w:t>
      </w:r>
      <w:bookmarkEnd w:id="1"/>
    </w:p>
    <w:p w14:paraId="1A59E8B9" w14:textId="77777777" w:rsidR="002279CF" w:rsidRDefault="003A2A1B" w:rsidP="000120EA">
      <w:pPr>
        <w:autoSpaceDE w:val="0"/>
        <w:autoSpaceDN w:val="0"/>
        <w:adjustRightInd w:val="0"/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eastAsiaTheme="minorHAnsi" w:hAnsiTheme="minorHAnsi" w:cstheme="minorBidi"/>
          <w:spacing w:val="0"/>
          <w:sz w:val="22"/>
          <w:szCs w:val="22"/>
        </w:rPr>
        <w:t>De acordo com a</w:t>
      </w:r>
      <w:r w:rsidR="002279CF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 </w:t>
      </w:r>
      <w:r w:rsidR="002279CF" w:rsidRPr="00A82675">
        <w:rPr>
          <w:rFonts w:asciiTheme="minorHAnsi" w:eastAsiaTheme="minorHAnsi" w:hAnsiTheme="minorHAnsi" w:cstheme="minorBidi"/>
          <w:spacing w:val="0"/>
          <w:sz w:val="22"/>
          <w:szCs w:val="22"/>
        </w:rPr>
        <w:t>alínea f) do número 1 do artigo 26º do Decreto-Lei nº 137/2014, de 12 de setembro</w:t>
      </w:r>
      <w:r>
        <w:rPr>
          <w:rFonts w:asciiTheme="minorHAnsi" w:eastAsiaTheme="minorHAnsi" w:hAnsiTheme="minorHAnsi" w:cstheme="minorBidi"/>
          <w:spacing w:val="0"/>
          <w:sz w:val="22"/>
          <w:szCs w:val="22"/>
        </w:rPr>
        <w:t>, é da responsabilidade da</w:t>
      </w:r>
      <w:r w:rsidR="002279CF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 Autoridade de Gestão a verificação da demonstração da viabilidade e da sustentabilidade financeira das operações a financiar, isto é,</w:t>
      </w:r>
      <w:r w:rsidR="002279CF">
        <w:rPr>
          <w:rFonts w:asciiTheme="minorHAnsi" w:hAnsiTheme="minorHAnsi"/>
          <w:sz w:val="22"/>
          <w:szCs w:val="22"/>
        </w:rPr>
        <w:t xml:space="preserve"> </w:t>
      </w:r>
      <w:r w:rsidR="003F77C3">
        <w:rPr>
          <w:rFonts w:asciiTheme="minorHAnsi" w:hAnsiTheme="minorHAnsi"/>
          <w:sz w:val="22"/>
          <w:szCs w:val="22"/>
        </w:rPr>
        <w:t xml:space="preserve">a confirmação </w:t>
      </w:r>
      <w:r w:rsidR="002279CF">
        <w:rPr>
          <w:rFonts w:asciiTheme="minorHAnsi" w:hAnsiTheme="minorHAnsi"/>
          <w:sz w:val="22"/>
          <w:szCs w:val="22"/>
        </w:rPr>
        <w:t>de</w:t>
      </w:r>
      <w:r w:rsidR="002279CF" w:rsidRPr="000120EA">
        <w:rPr>
          <w:rFonts w:asciiTheme="minorHAnsi" w:hAnsiTheme="minorHAnsi"/>
          <w:sz w:val="22"/>
          <w:szCs w:val="22"/>
        </w:rPr>
        <w:t xml:space="preserve"> que </w:t>
      </w:r>
      <w:r w:rsidR="00D41C1C">
        <w:rPr>
          <w:rFonts w:asciiTheme="minorHAnsi" w:hAnsiTheme="minorHAnsi"/>
          <w:sz w:val="22"/>
          <w:szCs w:val="22"/>
        </w:rPr>
        <w:t>a operação</w:t>
      </w:r>
      <w:r w:rsidR="002279CF" w:rsidRPr="000120EA">
        <w:rPr>
          <w:rFonts w:asciiTheme="minorHAnsi" w:hAnsiTheme="minorHAnsi"/>
          <w:sz w:val="22"/>
          <w:szCs w:val="22"/>
        </w:rPr>
        <w:t xml:space="preserve"> terá recursos financeiros suficientes e disponíveis para cobrir as despesas de investimento e de funcionamento </w:t>
      </w:r>
      <w:r w:rsidR="002279CF">
        <w:rPr>
          <w:rFonts w:asciiTheme="minorHAnsi" w:hAnsiTheme="minorHAnsi"/>
          <w:sz w:val="22"/>
          <w:szCs w:val="22"/>
        </w:rPr>
        <w:t xml:space="preserve">ao longo do seu período </w:t>
      </w:r>
      <w:r w:rsidR="002279CF" w:rsidRPr="000120EA">
        <w:rPr>
          <w:rFonts w:asciiTheme="minorHAnsi" w:hAnsiTheme="minorHAnsi"/>
          <w:sz w:val="22"/>
          <w:szCs w:val="22"/>
        </w:rPr>
        <w:t xml:space="preserve">de referência. </w:t>
      </w:r>
    </w:p>
    <w:p w14:paraId="0641C0D3" w14:textId="77777777" w:rsidR="00515E50" w:rsidRPr="000120EA" w:rsidRDefault="00515E50" w:rsidP="00515E50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 w:rsidRPr="000120EA">
        <w:rPr>
          <w:rFonts w:asciiTheme="minorHAnsi" w:hAnsiTheme="minorHAnsi"/>
          <w:sz w:val="22"/>
          <w:szCs w:val="22"/>
        </w:rPr>
        <w:t xml:space="preserve">Para este efeito considera-se necessária a elaboração de uma análise financeira pelo beneficiário, nos termos do descrito no ponto </w:t>
      </w:r>
      <w:r w:rsidR="009E7734">
        <w:rPr>
          <w:rFonts w:asciiTheme="minorHAnsi" w:hAnsiTheme="minorHAnsi"/>
          <w:sz w:val="22"/>
          <w:szCs w:val="22"/>
        </w:rPr>
        <w:t>2 do presente documento</w:t>
      </w:r>
      <w:r w:rsidRPr="000120EA">
        <w:rPr>
          <w:rFonts w:asciiTheme="minorHAnsi" w:hAnsiTheme="minorHAnsi"/>
          <w:sz w:val="22"/>
          <w:szCs w:val="22"/>
        </w:rPr>
        <w:t xml:space="preserve">, visando responder às exigências expressas pelas orientações a nível comunitário, concretamente: </w:t>
      </w:r>
    </w:p>
    <w:p w14:paraId="238F1A4C" w14:textId="77777777" w:rsidR="00515E50" w:rsidRPr="000120EA" w:rsidRDefault="00515E50" w:rsidP="00305028">
      <w:pPr>
        <w:numPr>
          <w:ilvl w:val="0"/>
          <w:numId w:val="15"/>
        </w:numPr>
        <w:spacing w:before="120" w:after="120" w:line="360" w:lineRule="auto"/>
        <w:ind w:left="426" w:hanging="284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0120EA">
        <w:rPr>
          <w:rFonts w:asciiTheme="minorHAnsi" w:eastAsia="Calibri" w:hAnsiTheme="minorHAnsi"/>
          <w:spacing w:val="0"/>
          <w:sz w:val="22"/>
          <w:szCs w:val="22"/>
        </w:rPr>
        <w:t>Regulamento Delegado (EU) nº 480/2014, da Comissão, de 3 de março de 2014, (</w:t>
      </w:r>
      <w:r w:rsidRPr="000120EA">
        <w:rPr>
          <w:rFonts w:asciiTheme="minorHAnsi" w:eastAsia="Calibri" w:hAnsiTheme="minorHAnsi"/>
          <w:i/>
          <w:spacing w:val="0"/>
          <w:sz w:val="22"/>
          <w:szCs w:val="22"/>
        </w:rPr>
        <w:t>secção III - Metodologia para calcular a receita líquida atualizada das operações geradoras de receita líquida</w:t>
      </w:r>
      <w:r w:rsidRPr="000120EA">
        <w:rPr>
          <w:rFonts w:asciiTheme="minorHAnsi" w:eastAsia="Calibri" w:hAnsiTheme="minorHAnsi"/>
          <w:spacing w:val="0"/>
          <w:sz w:val="22"/>
          <w:szCs w:val="22"/>
        </w:rPr>
        <w:t>)</w:t>
      </w:r>
    </w:p>
    <w:p w14:paraId="43F09F90" w14:textId="77777777" w:rsidR="00515E50" w:rsidRPr="000120EA" w:rsidRDefault="00515E50" w:rsidP="00305028">
      <w:pPr>
        <w:numPr>
          <w:ilvl w:val="0"/>
          <w:numId w:val="15"/>
        </w:numPr>
        <w:spacing w:before="120" w:after="120" w:line="360" w:lineRule="auto"/>
        <w:ind w:left="426" w:hanging="284"/>
        <w:contextualSpacing/>
        <w:jc w:val="both"/>
        <w:rPr>
          <w:rFonts w:asciiTheme="minorHAnsi" w:eastAsia="Calibri" w:hAnsiTheme="minorHAnsi"/>
          <w:spacing w:val="0"/>
          <w:sz w:val="22"/>
          <w:szCs w:val="22"/>
          <w:lang w:val="en-US"/>
        </w:rPr>
      </w:pPr>
      <w:r w:rsidRPr="000120EA">
        <w:rPr>
          <w:rFonts w:asciiTheme="minorHAnsi" w:eastAsia="Calibri" w:hAnsiTheme="minorHAnsi"/>
          <w:spacing w:val="0"/>
          <w:sz w:val="22"/>
          <w:szCs w:val="22"/>
          <w:lang w:val="en-US"/>
        </w:rPr>
        <w:t xml:space="preserve">Manual da </w:t>
      </w:r>
      <w:proofErr w:type="spellStart"/>
      <w:r w:rsidRPr="000120EA">
        <w:rPr>
          <w:rFonts w:asciiTheme="minorHAnsi" w:eastAsia="Calibri" w:hAnsiTheme="minorHAnsi"/>
          <w:spacing w:val="0"/>
          <w:sz w:val="22"/>
          <w:szCs w:val="22"/>
          <w:lang w:val="en-US"/>
        </w:rPr>
        <w:t>Comissão</w:t>
      </w:r>
      <w:proofErr w:type="spellEnd"/>
      <w:r w:rsidRPr="000120EA">
        <w:rPr>
          <w:rFonts w:asciiTheme="minorHAnsi" w:eastAsia="Calibri" w:hAnsiTheme="minorHAnsi"/>
          <w:spacing w:val="0"/>
          <w:sz w:val="22"/>
          <w:szCs w:val="22"/>
          <w:lang w:val="en-US"/>
        </w:rPr>
        <w:t xml:space="preserve"> </w:t>
      </w:r>
      <w:proofErr w:type="spellStart"/>
      <w:r w:rsidRPr="000120EA">
        <w:rPr>
          <w:rFonts w:asciiTheme="minorHAnsi" w:eastAsia="Calibri" w:hAnsiTheme="minorHAnsi"/>
          <w:spacing w:val="0"/>
          <w:sz w:val="22"/>
          <w:szCs w:val="22"/>
          <w:lang w:val="en-US"/>
        </w:rPr>
        <w:t>Europeia</w:t>
      </w:r>
      <w:proofErr w:type="spellEnd"/>
      <w:r w:rsidRPr="000120EA">
        <w:rPr>
          <w:rFonts w:asciiTheme="minorHAnsi" w:eastAsia="Calibri" w:hAnsiTheme="minorHAnsi"/>
          <w:spacing w:val="0"/>
          <w:sz w:val="22"/>
          <w:szCs w:val="22"/>
          <w:lang w:val="en-US"/>
        </w:rPr>
        <w:t xml:space="preserve"> “</w:t>
      </w:r>
      <w:r w:rsidRPr="000120EA">
        <w:rPr>
          <w:rFonts w:asciiTheme="minorHAnsi" w:eastAsia="Calibri" w:hAnsiTheme="minorHAnsi"/>
          <w:i/>
          <w:spacing w:val="0"/>
          <w:sz w:val="22"/>
          <w:szCs w:val="22"/>
          <w:lang w:val="en-US"/>
        </w:rPr>
        <w:t>Guide to Cost-benefit Analysis of Investment Projects – December 2014”</w:t>
      </w:r>
      <w:r w:rsidRPr="000120EA">
        <w:rPr>
          <w:rFonts w:asciiTheme="minorHAnsi" w:eastAsia="Calibri" w:hAnsiTheme="minorHAnsi"/>
          <w:spacing w:val="0"/>
          <w:sz w:val="22"/>
          <w:szCs w:val="22"/>
          <w:lang w:val="en-US"/>
        </w:rPr>
        <w:t xml:space="preserve"> (</w:t>
      </w:r>
      <w:proofErr w:type="spellStart"/>
      <w:r w:rsidRPr="000120EA">
        <w:rPr>
          <w:rFonts w:asciiTheme="minorHAnsi" w:eastAsia="Calibri" w:hAnsiTheme="minorHAnsi"/>
          <w:i/>
          <w:spacing w:val="0"/>
          <w:sz w:val="22"/>
          <w:szCs w:val="22"/>
          <w:lang w:val="en-US"/>
        </w:rPr>
        <w:t>ponto</w:t>
      </w:r>
      <w:proofErr w:type="spellEnd"/>
      <w:r w:rsidRPr="000120EA">
        <w:rPr>
          <w:rFonts w:asciiTheme="minorHAnsi" w:eastAsia="Calibri" w:hAnsiTheme="minorHAnsi"/>
          <w:i/>
          <w:spacing w:val="0"/>
          <w:sz w:val="22"/>
          <w:szCs w:val="22"/>
          <w:lang w:val="en-US"/>
        </w:rPr>
        <w:t xml:space="preserve"> 2.7</w:t>
      </w:r>
      <w:r w:rsidRPr="000120EA">
        <w:rPr>
          <w:rFonts w:asciiTheme="minorHAnsi" w:eastAsia="Calibri" w:hAnsiTheme="minorHAnsi"/>
          <w:spacing w:val="0"/>
          <w:sz w:val="22"/>
          <w:szCs w:val="22"/>
          <w:lang w:val="en-US"/>
        </w:rPr>
        <w:t>);</w:t>
      </w:r>
    </w:p>
    <w:p w14:paraId="01263BDF" w14:textId="77777777" w:rsidR="00515E50" w:rsidRPr="000120EA" w:rsidRDefault="00515E50" w:rsidP="00305028">
      <w:pPr>
        <w:numPr>
          <w:ilvl w:val="0"/>
          <w:numId w:val="15"/>
        </w:numPr>
        <w:spacing w:before="120" w:after="120" w:line="360" w:lineRule="auto"/>
        <w:ind w:left="426" w:hanging="284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0120EA">
        <w:rPr>
          <w:rFonts w:asciiTheme="minorHAnsi" w:eastAsia="Calibri" w:hAnsiTheme="minorHAnsi"/>
          <w:spacing w:val="0"/>
          <w:sz w:val="22"/>
          <w:szCs w:val="22"/>
        </w:rPr>
        <w:t>Regulamento de Execução (UE) 2015/207 da Comissão de 20 de janeiro de 2015, que estabelece regras pormenorizadas de execução do Regulamento (UE) nº 1303/2013, em termos de metodologia a utilizar para efeitos da análise custo-benefício, e no qual é feita referência aos objetivos e requisitos a que a análise financeira deve respeitar.</w:t>
      </w:r>
    </w:p>
    <w:p w14:paraId="32D38459" w14:textId="77777777" w:rsidR="002A539E" w:rsidRDefault="002A539E" w:rsidP="00515E50">
      <w:pPr>
        <w:spacing w:before="120" w:after="120" w:line="360" w:lineRule="auto"/>
        <w:ind w:left="33"/>
        <w:jc w:val="both"/>
        <w:rPr>
          <w:rFonts w:asciiTheme="minorHAnsi" w:hAnsiTheme="minorHAnsi"/>
          <w:sz w:val="22"/>
          <w:szCs w:val="22"/>
        </w:rPr>
      </w:pPr>
    </w:p>
    <w:p w14:paraId="778915DC" w14:textId="77777777" w:rsidR="00515E50" w:rsidRDefault="00515E50" w:rsidP="00515E50">
      <w:pPr>
        <w:spacing w:before="120" w:after="120" w:line="360" w:lineRule="auto"/>
        <w:ind w:left="33"/>
        <w:jc w:val="both"/>
        <w:rPr>
          <w:rFonts w:asciiTheme="minorHAnsi" w:hAnsiTheme="minorHAnsi"/>
          <w:sz w:val="22"/>
          <w:szCs w:val="22"/>
        </w:rPr>
      </w:pPr>
      <w:r w:rsidRPr="000120EA">
        <w:rPr>
          <w:rFonts w:asciiTheme="minorHAnsi" w:hAnsiTheme="minorHAnsi"/>
          <w:sz w:val="22"/>
          <w:szCs w:val="22"/>
        </w:rPr>
        <w:t>Deste modo, levando em consideração os parâmetros relevantes (Investimento, custos de substituição, custos e receitas de exploração), a análise financeira a realizar tem como objetivo principal o de calcular os indicador</w:t>
      </w:r>
      <w:r w:rsidR="00D41C1C">
        <w:rPr>
          <w:rFonts w:asciiTheme="minorHAnsi" w:hAnsiTheme="minorHAnsi"/>
          <w:sz w:val="22"/>
          <w:szCs w:val="22"/>
        </w:rPr>
        <w:t>es de desempenho financeiro d</w:t>
      </w:r>
      <w:r w:rsidR="00D41C1C" w:rsidRPr="00D41C1C">
        <w:rPr>
          <w:rFonts w:asciiTheme="minorHAnsi" w:hAnsiTheme="minorHAnsi"/>
          <w:sz w:val="22"/>
          <w:szCs w:val="22"/>
        </w:rPr>
        <w:t>a operação</w:t>
      </w:r>
      <w:r w:rsidRPr="000120EA">
        <w:rPr>
          <w:rFonts w:asciiTheme="minorHAnsi" w:hAnsiTheme="minorHAnsi"/>
          <w:sz w:val="22"/>
          <w:szCs w:val="22"/>
        </w:rPr>
        <w:t>, durante as fases de construção e de exploração.</w:t>
      </w:r>
    </w:p>
    <w:p w14:paraId="611881DB" w14:textId="77777777" w:rsidR="002F08B5" w:rsidRDefault="000120EA" w:rsidP="000120EA">
      <w:pPr>
        <w:autoSpaceDE w:val="0"/>
        <w:autoSpaceDN w:val="0"/>
        <w:adjustRightInd w:val="0"/>
        <w:spacing w:before="120" w:after="120" w:line="360" w:lineRule="auto"/>
        <w:ind w:left="0"/>
        <w:jc w:val="both"/>
        <w:rPr>
          <w:rFonts w:asciiTheme="minorHAnsi" w:eastAsiaTheme="minorHAnsi" w:hAnsiTheme="minorHAnsi" w:cstheme="minorBidi"/>
          <w:spacing w:val="0"/>
          <w:sz w:val="22"/>
          <w:szCs w:val="22"/>
        </w:rPr>
      </w:pPr>
      <w:r w:rsidRPr="000120EA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A presente Nota de Orientações pretende sistematizar os procedimentos a adotar em sede de </w:t>
      </w:r>
      <w:r w:rsidR="00380D02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apresentação </w:t>
      </w:r>
      <w:r w:rsidR="002F08B5">
        <w:rPr>
          <w:rFonts w:asciiTheme="minorHAnsi" w:eastAsiaTheme="minorHAnsi" w:hAnsiTheme="minorHAnsi" w:cstheme="minorBidi"/>
          <w:spacing w:val="0"/>
          <w:sz w:val="22"/>
          <w:szCs w:val="22"/>
        </w:rPr>
        <w:t>d</w:t>
      </w:r>
      <w:r w:rsidR="00D41C1C">
        <w:rPr>
          <w:rFonts w:asciiTheme="minorHAnsi" w:eastAsiaTheme="minorHAnsi" w:hAnsiTheme="minorHAnsi" w:cstheme="minorBidi"/>
          <w:spacing w:val="0"/>
          <w:sz w:val="22"/>
          <w:szCs w:val="22"/>
        </w:rPr>
        <w:t>e candidaturas</w:t>
      </w:r>
      <w:r w:rsidR="002F08B5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, do ponto de vista da abordagem ao nível da avaliação dos </w:t>
      </w:r>
      <w:r w:rsidR="003F77C3">
        <w:rPr>
          <w:rFonts w:asciiTheme="minorHAnsi" w:eastAsiaTheme="minorHAnsi" w:hAnsiTheme="minorHAnsi" w:cstheme="minorBidi"/>
          <w:spacing w:val="0"/>
          <w:sz w:val="22"/>
          <w:szCs w:val="22"/>
        </w:rPr>
        <w:t>respetivos custos e benefícios</w:t>
      </w:r>
      <w:r w:rsidR="00B03A07">
        <w:rPr>
          <w:rFonts w:asciiTheme="minorHAnsi" w:eastAsiaTheme="minorHAnsi" w:hAnsiTheme="minorHAnsi" w:cstheme="minorBidi"/>
          <w:spacing w:val="0"/>
          <w:sz w:val="22"/>
          <w:szCs w:val="22"/>
        </w:rPr>
        <w:t>.</w:t>
      </w:r>
    </w:p>
    <w:p w14:paraId="043AAA92" w14:textId="77777777" w:rsidR="000120EA" w:rsidRDefault="00B03A07" w:rsidP="000120EA">
      <w:pPr>
        <w:autoSpaceDE w:val="0"/>
        <w:autoSpaceDN w:val="0"/>
        <w:adjustRightInd w:val="0"/>
        <w:spacing w:before="120" w:after="120" w:line="360" w:lineRule="auto"/>
        <w:ind w:left="0"/>
        <w:jc w:val="both"/>
        <w:rPr>
          <w:rFonts w:asciiTheme="minorHAnsi" w:eastAsiaTheme="minorHAnsi" w:hAnsiTheme="minorHAnsi" w:cstheme="minorBidi"/>
          <w:spacing w:val="0"/>
          <w:sz w:val="22"/>
          <w:szCs w:val="22"/>
        </w:rPr>
      </w:pPr>
      <w:r>
        <w:rPr>
          <w:rFonts w:asciiTheme="minorHAnsi" w:eastAsiaTheme="minorHAnsi" w:hAnsiTheme="minorHAnsi" w:cstheme="minorBidi"/>
          <w:spacing w:val="0"/>
          <w:sz w:val="22"/>
          <w:szCs w:val="22"/>
        </w:rPr>
        <w:t>Neste contexto é desenvolvid</w:t>
      </w:r>
      <w:r w:rsidR="00515E50">
        <w:rPr>
          <w:rFonts w:asciiTheme="minorHAnsi" w:eastAsiaTheme="minorHAnsi" w:hAnsiTheme="minorHAnsi" w:cstheme="minorBidi"/>
          <w:spacing w:val="0"/>
          <w:sz w:val="22"/>
          <w:szCs w:val="22"/>
        </w:rPr>
        <w:t>a</w:t>
      </w:r>
      <w:r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 a abordagem metodológica a adotar ao nível </w:t>
      </w:r>
      <w:r w:rsidR="002F08B5">
        <w:rPr>
          <w:rFonts w:asciiTheme="minorHAnsi" w:eastAsiaTheme="minorHAnsi" w:hAnsiTheme="minorHAnsi" w:cstheme="minorBidi"/>
          <w:spacing w:val="0"/>
          <w:sz w:val="22"/>
          <w:szCs w:val="22"/>
        </w:rPr>
        <w:t>do</w:t>
      </w:r>
      <w:r w:rsidR="00951BA2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 </w:t>
      </w:r>
      <w:r w:rsidR="000120EA" w:rsidRPr="000120EA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apuramento da receita líquida decorrente de operações cofinanciadas, tendo presente a consolidação dos requisitos expressos nos normativos nacionais e comunitários e potenciando o capital de conhecimento e a incorporação das boas práticas em termos de </w:t>
      </w:r>
      <w:r w:rsidR="003F77C3">
        <w:rPr>
          <w:rFonts w:asciiTheme="minorHAnsi" w:eastAsiaTheme="minorHAnsi" w:hAnsiTheme="minorHAnsi" w:cstheme="minorBidi"/>
          <w:spacing w:val="0"/>
          <w:sz w:val="22"/>
          <w:szCs w:val="22"/>
        </w:rPr>
        <w:t>procedimentos</w:t>
      </w:r>
      <w:r w:rsidR="000120EA" w:rsidRPr="000120EA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 de análise assimilada</w:t>
      </w:r>
      <w:r w:rsidR="003F77C3">
        <w:rPr>
          <w:rFonts w:asciiTheme="minorHAnsi" w:eastAsiaTheme="minorHAnsi" w:hAnsiTheme="minorHAnsi" w:cstheme="minorBidi"/>
          <w:spacing w:val="0"/>
          <w:sz w:val="22"/>
          <w:szCs w:val="22"/>
        </w:rPr>
        <w:t>s</w:t>
      </w:r>
      <w:r w:rsidR="000120EA" w:rsidRPr="000120EA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 ao longo de diferentes períodos de programação.</w:t>
      </w:r>
    </w:p>
    <w:p w14:paraId="59AE47C1" w14:textId="77777777" w:rsidR="003A2A1B" w:rsidRPr="000120EA" w:rsidRDefault="00B03A07" w:rsidP="000120EA">
      <w:pPr>
        <w:autoSpaceDE w:val="0"/>
        <w:autoSpaceDN w:val="0"/>
        <w:adjustRightInd w:val="0"/>
        <w:spacing w:before="120" w:after="120" w:line="360" w:lineRule="auto"/>
        <w:ind w:left="0"/>
        <w:jc w:val="both"/>
        <w:rPr>
          <w:rFonts w:asciiTheme="minorHAnsi" w:eastAsiaTheme="minorHAnsi" w:hAnsiTheme="minorHAnsi" w:cstheme="minorBidi"/>
          <w:spacing w:val="0"/>
          <w:sz w:val="22"/>
          <w:szCs w:val="22"/>
        </w:rPr>
      </w:pPr>
      <w:r>
        <w:rPr>
          <w:rFonts w:asciiTheme="minorHAnsi" w:eastAsiaTheme="minorHAnsi" w:hAnsiTheme="minorHAnsi" w:cstheme="minorBidi"/>
          <w:spacing w:val="0"/>
          <w:sz w:val="22"/>
          <w:szCs w:val="22"/>
        </w:rPr>
        <w:t>Na presente</w:t>
      </w:r>
      <w:r w:rsidR="003A2A1B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 Nota são também destacados os procedimentos atinentes à </w:t>
      </w:r>
      <w:r w:rsidR="00BD77D9">
        <w:rPr>
          <w:rFonts w:asciiTheme="minorHAnsi" w:eastAsiaTheme="minorHAnsi" w:hAnsiTheme="minorHAnsi" w:cstheme="minorBidi"/>
          <w:spacing w:val="0"/>
          <w:sz w:val="22"/>
          <w:szCs w:val="22"/>
        </w:rPr>
        <w:t>garantia</w:t>
      </w:r>
      <w:r w:rsidR="003A2A1B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 da sustentabilidade financeira das operações</w:t>
      </w:r>
      <w:r w:rsidR="00BD77D9">
        <w:rPr>
          <w:rFonts w:asciiTheme="minorHAnsi" w:eastAsiaTheme="minorHAnsi" w:hAnsiTheme="minorHAnsi" w:cstheme="minorBidi"/>
          <w:spacing w:val="0"/>
          <w:sz w:val="22"/>
          <w:szCs w:val="22"/>
        </w:rPr>
        <w:t>.</w:t>
      </w:r>
    </w:p>
    <w:p w14:paraId="0E03911B" w14:textId="77777777" w:rsidR="003F77C3" w:rsidRDefault="000120EA" w:rsidP="000120EA">
      <w:pPr>
        <w:autoSpaceDE w:val="0"/>
        <w:autoSpaceDN w:val="0"/>
        <w:adjustRightInd w:val="0"/>
        <w:spacing w:before="120" w:after="120" w:line="360" w:lineRule="auto"/>
        <w:ind w:left="0"/>
        <w:jc w:val="both"/>
        <w:rPr>
          <w:rFonts w:asciiTheme="minorHAnsi" w:eastAsiaTheme="minorHAnsi" w:hAnsiTheme="minorHAnsi" w:cstheme="minorBidi"/>
          <w:spacing w:val="0"/>
          <w:sz w:val="22"/>
          <w:szCs w:val="22"/>
        </w:rPr>
      </w:pPr>
      <w:r w:rsidRPr="000120EA">
        <w:rPr>
          <w:rFonts w:asciiTheme="minorHAnsi" w:eastAsiaTheme="minorHAnsi" w:hAnsiTheme="minorHAnsi" w:cstheme="minorBidi"/>
          <w:spacing w:val="0"/>
          <w:sz w:val="22"/>
          <w:szCs w:val="22"/>
        </w:rPr>
        <w:lastRenderedPageBreak/>
        <w:t>Pretende-se, deste modo, identificar os principais critérios de base a acolher em termos de adoção de pressupostos e de análise, que sirvam</w:t>
      </w:r>
      <w:r w:rsidR="002A539E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 </w:t>
      </w:r>
      <w:r w:rsidRPr="000120EA">
        <w:rPr>
          <w:rFonts w:asciiTheme="minorHAnsi" w:eastAsiaTheme="minorHAnsi" w:hAnsiTheme="minorHAnsi" w:cstheme="minorBidi"/>
          <w:spacing w:val="0"/>
          <w:sz w:val="22"/>
          <w:szCs w:val="22"/>
        </w:rPr>
        <w:t>de grelha de orientação para os beneficiários das operações candidatas ao POSEUR, em sede de instrução de candidaturas</w:t>
      </w:r>
      <w:r w:rsidR="00380D02">
        <w:rPr>
          <w:rFonts w:asciiTheme="minorHAnsi" w:eastAsiaTheme="minorHAnsi" w:hAnsiTheme="minorHAnsi" w:cstheme="minorBidi"/>
          <w:spacing w:val="0"/>
          <w:sz w:val="22"/>
          <w:szCs w:val="22"/>
        </w:rPr>
        <w:t>.</w:t>
      </w:r>
    </w:p>
    <w:p w14:paraId="39E2720E" w14:textId="77777777" w:rsidR="003E4060" w:rsidRDefault="003E4060" w:rsidP="003E4060">
      <w:pPr>
        <w:spacing w:before="120" w:after="120" w:line="360" w:lineRule="auto"/>
        <w:ind w:left="851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</w:p>
    <w:p w14:paraId="3F3E543C" w14:textId="77777777" w:rsidR="009563D6" w:rsidRDefault="00515E50" w:rsidP="009563D6">
      <w:pPr>
        <w:numPr>
          <w:ilvl w:val="0"/>
          <w:numId w:val="13"/>
        </w:numPr>
        <w:spacing w:before="120" w:after="120" w:line="360" w:lineRule="auto"/>
        <w:ind w:left="426" w:hanging="426"/>
        <w:contextualSpacing/>
        <w:outlineLvl w:val="0"/>
        <w:rPr>
          <w:rFonts w:asciiTheme="minorHAnsi" w:eastAsia="Calibri" w:hAnsiTheme="minorHAnsi"/>
          <w:b/>
          <w:color w:val="4BACC6" w:themeColor="accent5"/>
          <w:spacing w:val="0"/>
          <w:sz w:val="22"/>
          <w:szCs w:val="22"/>
        </w:rPr>
      </w:pPr>
      <w:bookmarkStart w:id="2" w:name="_Toc472438900"/>
      <w:r>
        <w:rPr>
          <w:rFonts w:asciiTheme="minorHAnsi" w:eastAsia="Calibri" w:hAnsiTheme="minorHAnsi"/>
          <w:b/>
          <w:color w:val="4BACC6" w:themeColor="accent5"/>
          <w:spacing w:val="0"/>
          <w:sz w:val="22"/>
          <w:szCs w:val="22"/>
        </w:rPr>
        <w:t>Análise Financeira</w:t>
      </w:r>
      <w:bookmarkEnd w:id="2"/>
    </w:p>
    <w:p w14:paraId="553250C5" w14:textId="77777777" w:rsidR="00E272CB" w:rsidRPr="009D51E4" w:rsidRDefault="00E272CB" w:rsidP="00011C6F">
      <w:pPr>
        <w:spacing w:line="360" w:lineRule="auto"/>
        <w:ind w:left="0"/>
        <w:jc w:val="both"/>
        <w:rPr>
          <w:rFonts w:asciiTheme="minorHAnsi" w:eastAsiaTheme="minorHAnsi" w:hAnsiTheme="minorHAnsi" w:cs="Arial"/>
          <w:sz w:val="22"/>
          <w:szCs w:val="22"/>
        </w:rPr>
      </w:pPr>
      <w:bookmarkStart w:id="3" w:name="_Toc430341657"/>
      <w:bookmarkStart w:id="4" w:name="_Toc464481558"/>
      <w:bookmarkStart w:id="5" w:name="_Toc464485152"/>
      <w:r w:rsidRPr="009D51E4">
        <w:rPr>
          <w:rFonts w:asciiTheme="minorHAnsi" w:eastAsiaTheme="minorHAnsi" w:hAnsiTheme="minorHAnsi" w:cs="Arial"/>
          <w:sz w:val="22"/>
          <w:szCs w:val="22"/>
        </w:rPr>
        <w:t>A análise financeira apresenta-se como o instrumento</w:t>
      </w:r>
      <w:r w:rsidR="000C1C90" w:rsidRPr="009D51E4">
        <w:rPr>
          <w:rFonts w:asciiTheme="minorHAnsi" w:eastAsiaTheme="minorHAnsi" w:hAnsiTheme="minorHAnsi" w:cs="Arial"/>
          <w:sz w:val="22"/>
          <w:szCs w:val="22"/>
        </w:rPr>
        <w:t xml:space="preserve"> metodológico</w:t>
      </w:r>
      <w:r w:rsidRPr="009D51E4">
        <w:rPr>
          <w:rFonts w:asciiTheme="minorHAnsi" w:eastAsiaTheme="minorHAnsi" w:hAnsiTheme="minorHAnsi" w:cs="Arial"/>
          <w:sz w:val="22"/>
          <w:szCs w:val="22"/>
        </w:rPr>
        <w:t xml:space="preserve"> </w:t>
      </w:r>
      <w:r w:rsidR="004040F4" w:rsidRPr="009D51E4">
        <w:rPr>
          <w:rFonts w:asciiTheme="minorHAnsi" w:eastAsiaTheme="minorHAnsi" w:hAnsiTheme="minorHAnsi" w:cs="Arial"/>
          <w:sz w:val="22"/>
          <w:szCs w:val="22"/>
        </w:rPr>
        <w:t xml:space="preserve">a utilizar para </w:t>
      </w:r>
      <w:r w:rsidRPr="009D51E4">
        <w:rPr>
          <w:rFonts w:asciiTheme="minorHAnsi" w:eastAsiaTheme="minorHAnsi" w:hAnsiTheme="minorHAnsi" w:cs="Arial"/>
          <w:sz w:val="22"/>
          <w:szCs w:val="22"/>
        </w:rPr>
        <w:t xml:space="preserve">avaliar a rentabilidade </w:t>
      </w:r>
      <w:r w:rsidR="004040F4" w:rsidRPr="009D51E4">
        <w:rPr>
          <w:rFonts w:asciiTheme="minorHAnsi" w:eastAsiaTheme="minorHAnsi" w:hAnsiTheme="minorHAnsi" w:cs="Arial"/>
          <w:sz w:val="22"/>
          <w:szCs w:val="22"/>
        </w:rPr>
        <w:t>dos investimentos submetidos a financiamento</w:t>
      </w:r>
      <w:r w:rsidRPr="009D51E4">
        <w:rPr>
          <w:rFonts w:asciiTheme="minorHAnsi" w:eastAsiaTheme="minorHAnsi" w:hAnsiTheme="minorHAnsi" w:cs="Arial"/>
          <w:sz w:val="22"/>
          <w:szCs w:val="22"/>
        </w:rPr>
        <w:t xml:space="preserve"> tendo em vista, em função das condições </w:t>
      </w:r>
      <w:r w:rsidR="008E01E6" w:rsidRPr="009D51E4">
        <w:rPr>
          <w:rFonts w:asciiTheme="minorHAnsi" w:eastAsiaTheme="minorHAnsi" w:hAnsiTheme="minorHAnsi" w:cs="Arial"/>
          <w:sz w:val="22"/>
          <w:szCs w:val="22"/>
        </w:rPr>
        <w:t>atuais</w:t>
      </w:r>
      <w:r w:rsidRPr="009D51E4">
        <w:rPr>
          <w:rFonts w:asciiTheme="minorHAnsi" w:eastAsiaTheme="minorHAnsi" w:hAnsiTheme="minorHAnsi" w:cs="Arial"/>
          <w:sz w:val="22"/>
          <w:szCs w:val="22"/>
        </w:rPr>
        <w:t xml:space="preserve"> e </w:t>
      </w:r>
      <w:r w:rsidR="00951C17" w:rsidRPr="009D51E4">
        <w:rPr>
          <w:rFonts w:asciiTheme="minorHAnsi" w:eastAsiaTheme="minorHAnsi" w:hAnsiTheme="minorHAnsi" w:cs="Arial"/>
          <w:sz w:val="22"/>
          <w:szCs w:val="22"/>
        </w:rPr>
        <w:t>da projeção da sua evolução</w:t>
      </w:r>
      <w:r w:rsidRPr="009D51E4">
        <w:rPr>
          <w:rFonts w:asciiTheme="minorHAnsi" w:eastAsiaTheme="minorHAnsi" w:hAnsiTheme="minorHAnsi" w:cs="Arial"/>
          <w:sz w:val="22"/>
          <w:szCs w:val="22"/>
        </w:rPr>
        <w:t>, verificar se os capitais investidos são remunerados e reembolsados de modo a que as receitas superem as despesas de investimento e de funcionamento.</w:t>
      </w:r>
      <w:bookmarkEnd w:id="3"/>
      <w:bookmarkEnd w:id="4"/>
      <w:bookmarkEnd w:id="5"/>
    </w:p>
    <w:p w14:paraId="065180A5" w14:textId="77777777" w:rsidR="008E01E6" w:rsidRPr="009D51E4" w:rsidRDefault="008E01E6" w:rsidP="00011C6F">
      <w:pPr>
        <w:spacing w:line="360" w:lineRule="auto"/>
        <w:ind w:left="0"/>
        <w:jc w:val="both"/>
        <w:rPr>
          <w:rFonts w:asciiTheme="minorHAnsi" w:eastAsiaTheme="minorHAnsi" w:hAnsiTheme="minorHAnsi" w:cs="Arial"/>
          <w:sz w:val="22"/>
          <w:szCs w:val="22"/>
        </w:rPr>
      </w:pPr>
      <w:bookmarkStart w:id="6" w:name="_Toc464481559"/>
      <w:bookmarkStart w:id="7" w:name="_Toc464485153"/>
      <w:bookmarkStart w:id="8" w:name="_Toc430341658"/>
      <w:r w:rsidRPr="009D51E4">
        <w:rPr>
          <w:rFonts w:asciiTheme="minorHAnsi" w:eastAsiaTheme="minorHAnsi" w:hAnsiTheme="minorHAnsi" w:cs="Arial"/>
          <w:sz w:val="22"/>
          <w:szCs w:val="22"/>
        </w:rPr>
        <w:t>Neste âmbito, em sede de análise de candidatura, importa apurar:</w:t>
      </w:r>
      <w:bookmarkEnd w:id="6"/>
      <w:bookmarkEnd w:id="7"/>
    </w:p>
    <w:p w14:paraId="7FC0DCB4" w14:textId="77777777" w:rsidR="008E01E6" w:rsidRPr="009D51E4" w:rsidRDefault="008E01E6" w:rsidP="007E6BAA">
      <w:pPr>
        <w:pStyle w:val="PargrafodaLista"/>
        <w:numPr>
          <w:ilvl w:val="0"/>
          <w:numId w:val="46"/>
        </w:numPr>
        <w:spacing w:line="360" w:lineRule="auto"/>
        <w:jc w:val="both"/>
        <w:rPr>
          <w:rFonts w:asciiTheme="minorHAnsi" w:eastAsiaTheme="minorHAnsi" w:hAnsiTheme="minorHAnsi" w:cs="Arial"/>
        </w:rPr>
      </w:pPr>
      <w:bookmarkStart w:id="9" w:name="_Toc464481560"/>
      <w:bookmarkStart w:id="10" w:name="_Toc464485154"/>
      <w:r w:rsidRPr="009D51E4">
        <w:rPr>
          <w:rFonts w:asciiTheme="minorHAnsi" w:eastAsiaTheme="minorHAnsi" w:hAnsiTheme="minorHAnsi" w:cs="Arial"/>
        </w:rPr>
        <w:t xml:space="preserve">O </w:t>
      </w:r>
      <w:r w:rsidR="00084C1E" w:rsidRPr="009D51E4">
        <w:rPr>
          <w:rFonts w:asciiTheme="minorHAnsi" w:eastAsiaTheme="minorHAnsi" w:hAnsiTheme="minorHAnsi" w:cs="Arial"/>
        </w:rPr>
        <w:t>custo do investimento total e o</w:t>
      </w:r>
      <w:r w:rsidRPr="009D51E4">
        <w:rPr>
          <w:rFonts w:asciiTheme="minorHAnsi" w:eastAsiaTheme="minorHAnsi" w:hAnsiTheme="minorHAnsi" w:cs="Arial"/>
        </w:rPr>
        <w:t xml:space="preserve"> </w:t>
      </w:r>
      <w:r w:rsidR="00084C1E" w:rsidRPr="009D51E4">
        <w:rPr>
          <w:rFonts w:asciiTheme="minorHAnsi" w:eastAsiaTheme="minorHAnsi" w:hAnsiTheme="minorHAnsi" w:cs="Arial"/>
        </w:rPr>
        <w:t>investimento</w:t>
      </w:r>
      <w:r w:rsidRPr="009D51E4">
        <w:rPr>
          <w:rFonts w:asciiTheme="minorHAnsi" w:eastAsiaTheme="minorHAnsi" w:hAnsiTheme="minorHAnsi" w:cs="Arial"/>
        </w:rPr>
        <w:t xml:space="preserve"> total elegível;</w:t>
      </w:r>
      <w:bookmarkEnd w:id="9"/>
      <w:bookmarkEnd w:id="10"/>
    </w:p>
    <w:p w14:paraId="24DFF062" w14:textId="77777777" w:rsidR="008E01E6" w:rsidRPr="009D51E4" w:rsidRDefault="008E01E6" w:rsidP="007E6BAA">
      <w:pPr>
        <w:pStyle w:val="PargrafodaLista"/>
        <w:numPr>
          <w:ilvl w:val="0"/>
          <w:numId w:val="46"/>
        </w:numPr>
        <w:spacing w:line="360" w:lineRule="auto"/>
        <w:jc w:val="both"/>
        <w:rPr>
          <w:rFonts w:asciiTheme="minorHAnsi" w:eastAsiaTheme="minorHAnsi" w:hAnsiTheme="minorHAnsi" w:cs="Arial"/>
        </w:rPr>
      </w:pPr>
      <w:bookmarkStart w:id="11" w:name="_Toc464481561"/>
      <w:bookmarkStart w:id="12" w:name="_Toc464485155"/>
      <w:r w:rsidRPr="009D51E4">
        <w:rPr>
          <w:rFonts w:asciiTheme="minorHAnsi" w:eastAsiaTheme="minorHAnsi" w:hAnsiTheme="minorHAnsi" w:cs="Arial"/>
        </w:rPr>
        <w:t>A estimativa razoável das receitas geradas durante a fase de execução da operação;</w:t>
      </w:r>
      <w:bookmarkEnd w:id="11"/>
      <w:bookmarkEnd w:id="12"/>
    </w:p>
    <w:p w14:paraId="3E15B758" w14:textId="77777777" w:rsidR="008E01E6" w:rsidRPr="009D51E4" w:rsidRDefault="008E01E6" w:rsidP="007E6BAA">
      <w:pPr>
        <w:pStyle w:val="PargrafodaLista"/>
        <w:numPr>
          <w:ilvl w:val="0"/>
          <w:numId w:val="46"/>
        </w:numPr>
        <w:spacing w:line="360" w:lineRule="auto"/>
        <w:jc w:val="both"/>
        <w:rPr>
          <w:rFonts w:asciiTheme="minorHAnsi" w:eastAsiaTheme="minorHAnsi" w:hAnsiTheme="minorHAnsi" w:cs="Arial"/>
        </w:rPr>
      </w:pPr>
      <w:bookmarkStart w:id="13" w:name="_Toc464481562"/>
      <w:bookmarkStart w:id="14" w:name="_Toc464485156"/>
      <w:r w:rsidRPr="009D51E4">
        <w:rPr>
          <w:rFonts w:asciiTheme="minorHAnsi" w:eastAsiaTheme="minorHAnsi" w:hAnsiTheme="minorHAnsi" w:cs="Arial"/>
        </w:rPr>
        <w:t>A estimativa dos custos incorridos em sede de execução da operação;</w:t>
      </w:r>
      <w:bookmarkEnd w:id="13"/>
      <w:bookmarkEnd w:id="14"/>
    </w:p>
    <w:p w14:paraId="62277958" w14:textId="77777777" w:rsidR="008E01E6" w:rsidRPr="009D51E4" w:rsidRDefault="00480BED" w:rsidP="007E6BAA">
      <w:pPr>
        <w:pStyle w:val="PargrafodaLista"/>
        <w:numPr>
          <w:ilvl w:val="0"/>
          <w:numId w:val="46"/>
        </w:numPr>
        <w:spacing w:line="360" w:lineRule="auto"/>
        <w:jc w:val="both"/>
        <w:rPr>
          <w:rFonts w:asciiTheme="minorHAnsi" w:eastAsiaTheme="minorHAnsi" w:hAnsiTheme="minorHAnsi" w:cs="Arial"/>
        </w:rPr>
      </w:pPr>
      <w:bookmarkStart w:id="15" w:name="_Toc464481563"/>
      <w:bookmarkStart w:id="16" w:name="_Toc464485157"/>
      <w:r w:rsidRPr="009D51E4">
        <w:rPr>
          <w:rFonts w:asciiTheme="minorHAnsi" w:eastAsiaTheme="minorHAnsi" w:hAnsiTheme="minorHAnsi" w:cs="Arial"/>
        </w:rPr>
        <w:t>A razoabilidade</w:t>
      </w:r>
      <w:r w:rsidR="008E01E6" w:rsidRPr="009D51E4">
        <w:rPr>
          <w:rFonts w:asciiTheme="minorHAnsi" w:eastAsiaTheme="minorHAnsi" w:hAnsiTheme="minorHAnsi" w:cs="Arial"/>
        </w:rPr>
        <w:t xml:space="preserve"> dos pressupostos económico-financeiros que suportam as projeções feitas.</w:t>
      </w:r>
      <w:bookmarkEnd w:id="15"/>
      <w:bookmarkEnd w:id="16"/>
    </w:p>
    <w:p w14:paraId="1F66FEA9" w14:textId="77777777" w:rsidR="008E01E6" w:rsidRPr="00011C6F" w:rsidRDefault="004040F4" w:rsidP="00011C6F">
      <w:pPr>
        <w:spacing w:line="360" w:lineRule="auto"/>
        <w:ind w:left="0"/>
        <w:jc w:val="both"/>
        <w:rPr>
          <w:rStyle w:val="Refdenotaderodap"/>
          <w:rFonts w:asciiTheme="minorHAnsi" w:eastAsia="Calibri" w:hAnsiTheme="minorHAnsi"/>
          <w:spacing w:val="0"/>
          <w:sz w:val="22"/>
          <w:szCs w:val="22"/>
        </w:rPr>
      </w:pPr>
      <w:bookmarkStart w:id="17" w:name="_Toc464481564"/>
      <w:bookmarkStart w:id="18" w:name="_Toc464485158"/>
      <w:r w:rsidRPr="009D51E4">
        <w:rPr>
          <w:rFonts w:asciiTheme="minorHAnsi" w:eastAsiaTheme="minorHAnsi" w:hAnsiTheme="minorHAnsi" w:cs="Arial"/>
          <w:sz w:val="22"/>
          <w:szCs w:val="22"/>
        </w:rPr>
        <w:t xml:space="preserve">Uma correta abordagem neste contexto pressupõe que </w:t>
      </w:r>
      <w:proofErr w:type="gramStart"/>
      <w:r w:rsidRPr="009D51E4">
        <w:rPr>
          <w:rFonts w:asciiTheme="minorHAnsi" w:eastAsiaTheme="minorHAnsi" w:hAnsiTheme="minorHAnsi" w:cs="Arial"/>
          <w:sz w:val="22"/>
          <w:szCs w:val="22"/>
        </w:rPr>
        <w:t>um conjunto de etapas sequenciais sejam percorridas</w:t>
      </w:r>
      <w:proofErr w:type="gramEnd"/>
      <w:r w:rsidRPr="009D51E4">
        <w:rPr>
          <w:rFonts w:asciiTheme="minorHAnsi" w:eastAsiaTheme="minorHAnsi" w:hAnsiTheme="minorHAnsi" w:cs="Arial"/>
          <w:sz w:val="22"/>
          <w:szCs w:val="22"/>
        </w:rPr>
        <w:t xml:space="preserve"> de modo a garantir</w:t>
      </w:r>
      <w:r w:rsidR="00951C17" w:rsidRPr="009D51E4">
        <w:rPr>
          <w:rFonts w:asciiTheme="minorHAnsi" w:eastAsiaTheme="minorHAnsi" w:hAnsiTheme="minorHAnsi" w:cs="Arial"/>
          <w:sz w:val="22"/>
          <w:szCs w:val="22"/>
        </w:rPr>
        <w:t xml:space="preserve"> que</w:t>
      </w:r>
      <w:r w:rsidRPr="009D51E4">
        <w:rPr>
          <w:rFonts w:asciiTheme="minorHAnsi" w:eastAsiaTheme="minorHAnsi" w:hAnsiTheme="minorHAnsi" w:cs="Arial"/>
          <w:sz w:val="22"/>
          <w:szCs w:val="22"/>
        </w:rPr>
        <w:t xml:space="preserve"> todas as características técnicas</w:t>
      </w:r>
      <w:r w:rsidR="00D41C1C" w:rsidRPr="009D51E4">
        <w:rPr>
          <w:rFonts w:asciiTheme="minorHAnsi" w:eastAsiaTheme="minorHAnsi" w:hAnsiTheme="minorHAnsi" w:cs="Arial"/>
          <w:sz w:val="22"/>
          <w:szCs w:val="22"/>
        </w:rPr>
        <w:t>,</w:t>
      </w:r>
      <w:r w:rsidRPr="009D51E4">
        <w:rPr>
          <w:rFonts w:asciiTheme="minorHAnsi" w:eastAsiaTheme="minorHAnsi" w:hAnsiTheme="minorHAnsi" w:cs="Arial"/>
          <w:sz w:val="22"/>
          <w:szCs w:val="22"/>
        </w:rPr>
        <w:t xml:space="preserve"> as es</w:t>
      </w:r>
      <w:r w:rsidR="00D41C1C" w:rsidRPr="009D51E4">
        <w:rPr>
          <w:rFonts w:asciiTheme="minorHAnsi" w:eastAsiaTheme="minorHAnsi" w:hAnsiTheme="minorHAnsi" w:cs="Arial"/>
          <w:sz w:val="22"/>
          <w:szCs w:val="22"/>
        </w:rPr>
        <w:t>pecificidades e</w:t>
      </w:r>
      <w:r w:rsidR="008E01E6" w:rsidRPr="009D51E4">
        <w:rPr>
          <w:rFonts w:asciiTheme="minorHAnsi" w:eastAsiaTheme="minorHAnsi" w:hAnsiTheme="minorHAnsi" w:cs="Arial"/>
          <w:sz w:val="22"/>
          <w:szCs w:val="22"/>
        </w:rPr>
        <w:t xml:space="preserve"> as melhores estimativas disponíveis são consideradas na análise.</w:t>
      </w:r>
      <w:bookmarkStart w:id="19" w:name="_Toc430341659"/>
      <w:bookmarkEnd w:id="8"/>
      <w:r w:rsidR="002A539E" w:rsidRPr="009D51E4">
        <w:rPr>
          <w:rFonts w:asciiTheme="minorHAnsi" w:eastAsiaTheme="minorHAnsi" w:hAnsiTheme="minorHAnsi" w:cs="Arial"/>
          <w:sz w:val="22"/>
          <w:szCs w:val="22"/>
        </w:rPr>
        <w:t xml:space="preserve"> </w:t>
      </w:r>
      <w:r w:rsidR="008E01E6" w:rsidRPr="009D51E4">
        <w:rPr>
          <w:rFonts w:asciiTheme="minorHAnsi" w:eastAsiaTheme="minorHAnsi" w:hAnsiTheme="minorHAnsi" w:cs="Arial"/>
          <w:sz w:val="22"/>
          <w:szCs w:val="22"/>
        </w:rPr>
        <w:t>Deste modo, o correto enquadramento e</w:t>
      </w:r>
      <w:r w:rsidR="000C1C90" w:rsidRPr="009D51E4">
        <w:rPr>
          <w:rFonts w:asciiTheme="minorHAnsi" w:eastAsiaTheme="minorHAnsi" w:hAnsiTheme="minorHAnsi" w:cs="Arial"/>
          <w:sz w:val="22"/>
          <w:szCs w:val="22"/>
        </w:rPr>
        <w:t xml:space="preserve"> um conhecimento tão abrangente quanto possível das características </w:t>
      </w:r>
      <w:r w:rsidR="00BD77D9" w:rsidRPr="009D51E4">
        <w:rPr>
          <w:rFonts w:asciiTheme="minorHAnsi" w:eastAsiaTheme="minorHAnsi" w:hAnsiTheme="minorHAnsi" w:cs="Arial"/>
          <w:sz w:val="22"/>
          <w:szCs w:val="22"/>
        </w:rPr>
        <w:t>da operação</w:t>
      </w:r>
      <w:r w:rsidR="000C1C90" w:rsidRPr="009D51E4">
        <w:rPr>
          <w:rFonts w:asciiTheme="minorHAnsi" w:eastAsiaTheme="minorHAnsi" w:hAnsiTheme="minorHAnsi" w:cs="Arial"/>
          <w:sz w:val="22"/>
          <w:szCs w:val="22"/>
        </w:rPr>
        <w:t xml:space="preserve"> e do </w:t>
      </w:r>
      <w:r w:rsidR="004A52F4" w:rsidRPr="009D51E4">
        <w:rPr>
          <w:rFonts w:asciiTheme="minorHAnsi" w:eastAsiaTheme="minorHAnsi" w:hAnsiTheme="minorHAnsi" w:cs="Arial"/>
          <w:sz w:val="22"/>
          <w:szCs w:val="22"/>
        </w:rPr>
        <w:t>contexto social, económico, político e institucional no qual o mesmo será implementado</w:t>
      </w:r>
      <w:r w:rsidR="008E01E6" w:rsidRPr="009D51E4">
        <w:rPr>
          <w:rFonts w:asciiTheme="minorHAnsi" w:eastAsiaTheme="minorHAnsi" w:hAnsiTheme="minorHAnsi" w:cs="Arial"/>
          <w:sz w:val="22"/>
          <w:szCs w:val="22"/>
        </w:rPr>
        <w:t xml:space="preserve">, afiguram-se essenciais para uma adequada </w:t>
      </w:r>
      <w:r w:rsidR="00237DDD" w:rsidRPr="009D51E4">
        <w:rPr>
          <w:rFonts w:asciiTheme="minorHAnsi" w:eastAsiaTheme="minorHAnsi" w:hAnsiTheme="minorHAnsi" w:cs="Arial"/>
          <w:sz w:val="22"/>
          <w:szCs w:val="22"/>
        </w:rPr>
        <w:t xml:space="preserve">avaliação da rentabilidade financeira e da sustentabilidade </w:t>
      </w:r>
      <w:r w:rsidR="00D41C1C" w:rsidRPr="009D51E4">
        <w:rPr>
          <w:rFonts w:asciiTheme="minorHAnsi" w:eastAsiaTheme="minorHAnsi" w:hAnsiTheme="minorHAnsi" w:cs="Arial"/>
          <w:sz w:val="22"/>
          <w:szCs w:val="22"/>
        </w:rPr>
        <w:t>da operação</w:t>
      </w:r>
      <w:r w:rsidR="00237DDD" w:rsidRPr="009D51E4">
        <w:rPr>
          <w:rFonts w:asciiTheme="minorHAnsi" w:eastAsiaTheme="minorHAnsi" w:hAnsiTheme="minorHAnsi" w:cs="Arial"/>
          <w:sz w:val="22"/>
          <w:szCs w:val="22"/>
        </w:rPr>
        <w:t>, assim como para a determinação do défice de financiamento da operação a financiar, quando aplicável</w:t>
      </w:r>
      <w:r w:rsidR="008D7328" w:rsidRPr="00011C6F">
        <w:rPr>
          <w:rStyle w:val="Refdenotaderodap"/>
          <w:rFonts w:asciiTheme="minorHAnsi" w:eastAsia="Calibri" w:hAnsiTheme="minorHAnsi"/>
          <w:spacing w:val="0"/>
          <w:sz w:val="22"/>
          <w:szCs w:val="22"/>
        </w:rPr>
        <w:footnoteReference w:id="1"/>
      </w:r>
      <w:r w:rsidR="00C84965" w:rsidRPr="00011C6F">
        <w:rPr>
          <w:rStyle w:val="Refdenotaderodap"/>
          <w:rFonts w:asciiTheme="minorHAnsi" w:eastAsia="Calibri" w:hAnsiTheme="minorHAnsi"/>
          <w:spacing w:val="0"/>
          <w:sz w:val="22"/>
          <w:szCs w:val="22"/>
        </w:rPr>
        <w:t>.</w:t>
      </w:r>
      <w:bookmarkEnd w:id="17"/>
      <w:bookmarkEnd w:id="18"/>
      <w:bookmarkEnd w:id="19"/>
    </w:p>
    <w:p w14:paraId="4D445D21" w14:textId="77777777" w:rsidR="008E01E6" w:rsidRPr="00564862" w:rsidRDefault="008E01E6" w:rsidP="00564862">
      <w:pPr>
        <w:rPr>
          <w:b/>
          <w:color w:val="4BACC6" w:themeColor="accent5"/>
        </w:rPr>
      </w:pPr>
    </w:p>
    <w:p w14:paraId="52B59C9E" w14:textId="77777777" w:rsidR="00C343A6" w:rsidRPr="00564862" w:rsidRDefault="00D41C1C" w:rsidP="00564862">
      <w:pPr>
        <w:pStyle w:val="PargrafodaLista"/>
        <w:numPr>
          <w:ilvl w:val="0"/>
          <w:numId w:val="44"/>
        </w:numPr>
        <w:ind w:left="567" w:firstLine="0"/>
        <w:rPr>
          <w:b/>
          <w:color w:val="4BACC6" w:themeColor="accent5"/>
        </w:rPr>
      </w:pPr>
      <w:bookmarkStart w:id="20" w:name="_Toc464481565"/>
      <w:bookmarkStart w:id="21" w:name="_Toc464485159"/>
      <w:r w:rsidRPr="00564862">
        <w:rPr>
          <w:b/>
          <w:color w:val="4BACC6" w:themeColor="accent5"/>
        </w:rPr>
        <w:t xml:space="preserve">Enquadramento da operação </w:t>
      </w:r>
      <w:r w:rsidR="004A52F4" w:rsidRPr="00564862">
        <w:rPr>
          <w:b/>
          <w:color w:val="4BACC6" w:themeColor="accent5"/>
        </w:rPr>
        <w:t>na realidade social, económica, política e institucional</w:t>
      </w:r>
      <w:bookmarkEnd w:id="20"/>
      <w:bookmarkEnd w:id="21"/>
    </w:p>
    <w:p w14:paraId="1C464D3D" w14:textId="77777777" w:rsidR="001A1C20" w:rsidRPr="009D51E4" w:rsidRDefault="001A1C20" w:rsidP="00564862">
      <w:pPr>
        <w:spacing w:line="360" w:lineRule="auto"/>
        <w:ind w:left="0"/>
        <w:jc w:val="both"/>
        <w:rPr>
          <w:rFonts w:asciiTheme="minorHAnsi" w:eastAsiaTheme="minorHAnsi" w:hAnsiTheme="minorHAnsi"/>
          <w:sz w:val="22"/>
        </w:rPr>
      </w:pPr>
      <w:bookmarkStart w:id="22" w:name="_Toc430341661"/>
      <w:bookmarkStart w:id="23" w:name="_Toc464481566"/>
      <w:bookmarkStart w:id="24" w:name="_Toc464485160"/>
      <w:r w:rsidRPr="009D51E4">
        <w:rPr>
          <w:rFonts w:asciiTheme="minorHAnsi" w:eastAsiaTheme="minorHAnsi" w:hAnsiTheme="minorHAnsi"/>
          <w:sz w:val="22"/>
        </w:rPr>
        <w:t xml:space="preserve">A apresentação do contexto social, económico, político </w:t>
      </w:r>
      <w:r w:rsidR="00D41C1C" w:rsidRPr="009D51E4">
        <w:rPr>
          <w:rFonts w:asciiTheme="minorHAnsi" w:eastAsiaTheme="minorHAnsi" w:hAnsiTheme="minorHAnsi"/>
          <w:sz w:val="22"/>
        </w:rPr>
        <w:t xml:space="preserve">e institucional de implantação da operação </w:t>
      </w:r>
      <w:r w:rsidRPr="009D51E4">
        <w:rPr>
          <w:rFonts w:asciiTheme="minorHAnsi" w:eastAsiaTheme="minorHAnsi" w:hAnsiTheme="minorHAnsi"/>
          <w:sz w:val="22"/>
        </w:rPr>
        <w:t xml:space="preserve">afigura-se </w:t>
      </w:r>
      <w:r w:rsidR="008B483B" w:rsidRPr="009D51E4">
        <w:rPr>
          <w:rFonts w:asciiTheme="minorHAnsi" w:eastAsiaTheme="minorHAnsi" w:hAnsiTheme="minorHAnsi"/>
          <w:sz w:val="22"/>
        </w:rPr>
        <w:t>essencial</w:t>
      </w:r>
      <w:r w:rsidRPr="009D51E4">
        <w:rPr>
          <w:rFonts w:asciiTheme="minorHAnsi" w:eastAsiaTheme="minorHAnsi" w:hAnsiTheme="minorHAnsi"/>
          <w:sz w:val="22"/>
        </w:rPr>
        <w:t xml:space="preserve"> para a fundamentação das projeções futuras, importando assegurar que os pressupostos assumidos são consistentes com a informação traduzida pela documentação oficial disponível.</w:t>
      </w:r>
      <w:bookmarkEnd w:id="22"/>
      <w:bookmarkEnd w:id="23"/>
      <w:bookmarkEnd w:id="24"/>
    </w:p>
    <w:p w14:paraId="500DEFF5" w14:textId="77777777" w:rsidR="00332F4A" w:rsidRPr="009D51E4" w:rsidRDefault="001A1C20" w:rsidP="00564862">
      <w:pPr>
        <w:spacing w:line="360" w:lineRule="auto"/>
        <w:ind w:left="0"/>
        <w:jc w:val="both"/>
        <w:rPr>
          <w:rFonts w:asciiTheme="minorHAnsi" w:eastAsiaTheme="minorHAnsi" w:hAnsiTheme="minorHAnsi"/>
          <w:sz w:val="22"/>
        </w:rPr>
      </w:pPr>
      <w:bookmarkStart w:id="25" w:name="_Toc430341662"/>
      <w:bookmarkStart w:id="26" w:name="_Toc464481567"/>
      <w:bookmarkStart w:id="27" w:name="_Toc464485161"/>
      <w:r w:rsidRPr="009D51E4">
        <w:rPr>
          <w:rFonts w:asciiTheme="minorHAnsi" w:eastAsiaTheme="minorHAnsi" w:hAnsiTheme="minorHAnsi"/>
          <w:sz w:val="22"/>
        </w:rPr>
        <w:t xml:space="preserve">Neste contexto, para o </w:t>
      </w:r>
      <w:r w:rsidRPr="009D51E4">
        <w:rPr>
          <w:rFonts w:asciiTheme="minorHAnsi" w:hAnsiTheme="minorHAnsi"/>
          <w:sz w:val="22"/>
        </w:rPr>
        <w:t>enquadramento e descrição do investimento associado à operação proposta a financiamento deve ser apresentada uma Memória Descritiva, nos termos do descrito no pon</w:t>
      </w:r>
      <w:r w:rsidR="008B483B" w:rsidRPr="009D51E4">
        <w:rPr>
          <w:rFonts w:asciiTheme="minorHAnsi" w:hAnsiTheme="minorHAnsi"/>
          <w:sz w:val="22"/>
        </w:rPr>
        <w:t xml:space="preserve">to </w:t>
      </w:r>
      <w:r w:rsidR="009E7734" w:rsidRPr="009D51E4">
        <w:rPr>
          <w:rFonts w:asciiTheme="minorHAnsi" w:hAnsiTheme="minorHAnsi"/>
          <w:sz w:val="22"/>
        </w:rPr>
        <w:t>2</w:t>
      </w:r>
      <w:bookmarkEnd w:id="25"/>
      <w:r w:rsidR="005E18F3" w:rsidRPr="009D51E4">
        <w:rPr>
          <w:rFonts w:asciiTheme="minorHAnsi" w:hAnsiTheme="minorHAnsi"/>
          <w:sz w:val="22"/>
        </w:rPr>
        <w:t xml:space="preserve"> e d</w:t>
      </w:r>
      <w:bookmarkStart w:id="28" w:name="_Toc430341663"/>
      <w:r w:rsidR="000D7502" w:rsidRPr="009D51E4">
        <w:rPr>
          <w:rFonts w:asciiTheme="minorHAnsi" w:hAnsiTheme="minorHAnsi"/>
          <w:sz w:val="22"/>
        </w:rPr>
        <w:t>o Anexo 4 ao presente documento, a qual</w:t>
      </w:r>
      <w:r w:rsidR="00E464D1" w:rsidRPr="009D51E4">
        <w:rPr>
          <w:rFonts w:asciiTheme="minorHAnsi" w:hAnsiTheme="minorHAnsi"/>
          <w:sz w:val="22"/>
        </w:rPr>
        <w:t xml:space="preserve"> </w:t>
      </w:r>
      <w:r w:rsidR="00237DDD" w:rsidRPr="009D51E4">
        <w:rPr>
          <w:rFonts w:asciiTheme="minorHAnsi" w:hAnsiTheme="minorHAnsi"/>
          <w:sz w:val="22"/>
        </w:rPr>
        <w:t>deve incidir sobre os seguintes aspetos:</w:t>
      </w:r>
      <w:bookmarkEnd w:id="26"/>
      <w:bookmarkEnd w:id="27"/>
      <w:bookmarkEnd w:id="28"/>
    </w:p>
    <w:p w14:paraId="41BB58D4" w14:textId="77777777" w:rsidR="001A1C20" w:rsidRPr="001A1C20" w:rsidRDefault="001A1C20" w:rsidP="000D7502">
      <w:pPr>
        <w:spacing w:before="120" w:after="120" w:line="360" w:lineRule="auto"/>
        <w:ind w:left="284"/>
        <w:rPr>
          <w:rFonts w:asciiTheme="minorHAnsi" w:eastAsiaTheme="minorHAnsi" w:hAnsiTheme="minorHAnsi" w:cstheme="minorBidi"/>
          <w:spacing w:val="0"/>
          <w:sz w:val="22"/>
          <w:szCs w:val="22"/>
          <w:u w:val="single"/>
        </w:rPr>
      </w:pPr>
      <w:r w:rsidRPr="00120020">
        <w:rPr>
          <w:rFonts w:asciiTheme="minorHAnsi" w:eastAsiaTheme="minorHAnsi" w:hAnsiTheme="minorHAnsi" w:cstheme="minorBidi"/>
          <w:spacing w:val="0"/>
          <w:sz w:val="22"/>
          <w:szCs w:val="22"/>
          <w:u w:val="single"/>
        </w:rPr>
        <w:lastRenderedPageBreak/>
        <w:t>Descrição</w:t>
      </w:r>
      <w:r>
        <w:rPr>
          <w:rFonts w:asciiTheme="minorHAnsi" w:eastAsiaTheme="minorHAnsi" w:hAnsiTheme="minorHAnsi" w:cstheme="minorBidi"/>
          <w:spacing w:val="0"/>
          <w:sz w:val="22"/>
          <w:szCs w:val="22"/>
          <w:u w:val="single"/>
        </w:rPr>
        <w:t xml:space="preserve"> de contexto</w:t>
      </w:r>
    </w:p>
    <w:p w14:paraId="4B4B9A27" w14:textId="77777777" w:rsidR="00237DDD" w:rsidRPr="00564862" w:rsidRDefault="00237DDD" w:rsidP="00564862">
      <w:pPr>
        <w:pStyle w:val="PargrafodaLista"/>
        <w:numPr>
          <w:ilvl w:val="0"/>
          <w:numId w:val="43"/>
        </w:numPr>
        <w:spacing w:line="360" w:lineRule="auto"/>
        <w:jc w:val="both"/>
        <w:rPr>
          <w:rFonts w:eastAsiaTheme="minorHAnsi" w:cs="Arial"/>
        </w:rPr>
      </w:pPr>
      <w:bookmarkStart w:id="29" w:name="_Toc430341664"/>
      <w:bookmarkStart w:id="30" w:name="_Toc464481568"/>
      <w:bookmarkStart w:id="31" w:name="_Toc464485162"/>
      <w:r w:rsidRPr="00564862">
        <w:rPr>
          <w:rFonts w:eastAsiaTheme="minorHAnsi" w:cs="Arial"/>
        </w:rPr>
        <w:t xml:space="preserve">Condições sócio económicas da região ou regiões relevantes para </w:t>
      </w:r>
      <w:r w:rsidR="00BD77D9" w:rsidRPr="00564862">
        <w:rPr>
          <w:rFonts w:eastAsiaTheme="minorHAnsi" w:cs="Arial"/>
        </w:rPr>
        <w:t>a operação</w:t>
      </w:r>
      <w:r w:rsidRPr="00564862">
        <w:rPr>
          <w:rFonts w:eastAsiaTheme="minorHAnsi" w:cs="Arial"/>
        </w:rPr>
        <w:t>, incluindo as dinâmicas demográficas, perspetivas de evolução do PIB, condições do mercado de emprego</w:t>
      </w:r>
      <w:r w:rsidR="00B737B2" w:rsidRPr="00564862">
        <w:rPr>
          <w:rFonts w:eastAsiaTheme="minorHAnsi" w:cs="Arial"/>
        </w:rPr>
        <w:t xml:space="preserve">, tendências de desemprego, </w:t>
      </w:r>
      <w:r w:rsidR="002A539E" w:rsidRPr="00564862">
        <w:rPr>
          <w:rFonts w:eastAsiaTheme="minorHAnsi" w:cs="Arial"/>
        </w:rPr>
        <w:t>etc.</w:t>
      </w:r>
      <w:r w:rsidR="00B737B2" w:rsidRPr="00564862">
        <w:rPr>
          <w:rFonts w:eastAsiaTheme="minorHAnsi" w:cs="Arial"/>
        </w:rPr>
        <w:t>;</w:t>
      </w:r>
      <w:bookmarkEnd w:id="29"/>
      <w:bookmarkEnd w:id="30"/>
      <w:bookmarkEnd w:id="31"/>
    </w:p>
    <w:p w14:paraId="2E659B8B" w14:textId="77777777" w:rsidR="00B737B2" w:rsidRPr="00564862" w:rsidRDefault="002A6F6F" w:rsidP="00564862">
      <w:pPr>
        <w:pStyle w:val="PargrafodaLista"/>
        <w:numPr>
          <w:ilvl w:val="0"/>
          <w:numId w:val="43"/>
        </w:numPr>
        <w:spacing w:line="360" w:lineRule="auto"/>
        <w:jc w:val="both"/>
        <w:rPr>
          <w:rFonts w:eastAsiaTheme="minorHAnsi" w:cs="Arial"/>
        </w:rPr>
      </w:pPr>
      <w:bookmarkStart w:id="32" w:name="_Toc430341665"/>
      <w:bookmarkStart w:id="33" w:name="_Toc464481569"/>
      <w:bookmarkStart w:id="34" w:name="_Toc464485163"/>
      <w:r w:rsidRPr="00564862">
        <w:rPr>
          <w:rFonts w:eastAsiaTheme="minorHAnsi" w:cs="Arial"/>
        </w:rPr>
        <w:t>Envolvente política e institucional, incluindo as políticas económicas e planos de desenvolvimento em curso, descrição dos agentes envolvidos</w:t>
      </w:r>
      <w:r w:rsidR="00B737B2" w:rsidRPr="00564862">
        <w:rPr>
          <w:rFonts w:eastAsiaTheme="minorHAnsi" w:cs="Arial"/>
        </w:rPr>
        <w:t>;</w:t>
      </w:r>
      <w:bookmarkEnd w:id="32"/>
      <w:bookmarkEnd w:id="33"/>
      <w:bookmarkEnd w:id="34"/>
    </w:p>
    <w:p w14:paraId="0B0CE104" w14:textId="77777777" w:rsidR="00B737B2" w:rsidRPr="00564862" w:rsidRDefault="00B737B2" w:rsidP="00564862">
      <w:pPr>
        <w:pStyle w:val="PargrafodaLista"/>
        <w:numPr>
          <w:ilvl w:val="0"/>
          <w:numId w:val="43"/>
        </w:numPr>
        <w:spacing w:line="360" w:lineRule="auto"/>
        <w:jc w:val="both"/>
        <w:rPr>
          <w:rFonts w:eastAsiaTheme="minorHAnsi" w:cs="Arial"/>
        </w:rPr>
      </w:pPr>
      <w:bookmarkStart w:id="35" w:name="_Toc430341666"/>
      <w:bookmarkStart w:id="36" w:name="_Toc464481570"/>
      <w:bookmarkStart w:id="37" w:name="_Toc464485164"/>
      <w:r w:rsidRPr="00564862">
        <w:rPr>
          <w:rFonts w:eastAsiaTheme="minorHAnsi" w:cs="Arial"/>
        </w:rPr>
        <w:t>Caracterização da situação existente (</w:t>
      </w:r>
      <w:r w:rsidR="00A812FE" w:rsidRPr="00564862">
        <w:rPr>
          <w:rFonts w:eastAsiaTheme="minorHAnsi" w:cs="Arial"/>
        </w:rPr>
        <w:t>pré-projecto</w:t>
      </w:r>
      <w:r w:rsidRPr="00564862">
        <w:rPr>
          <w:rFonts w:eastAsiaTheme="minorHAnsi" w:cs="Arial"/>
        </w:rPr>
        <w:t>) em termos de dotação de infraestruturas e serviços, custos</w:t>
      </w:r>
      <w:r w:rsidR="00BE72A2" w:rsidRPr="00564862">
        <w:rPr>
          <w:rFonts w:eastAsiaTheme="minorHAnsi" w:cs="Arial"/>
        </w:rPr>
        <w:t xml:space="preserve"> e receitas</w:t>
      </w:r>
      <w:r w:rsidRPr="00564862">
        <w:rPr>
          <w:rFonts w:eastAsiaTheme="minorHAnsi" w:cs="Arial"/>
        </w:rPr>
        <w:t xml:space="preserve"> operac</w:t>
      </w:r>
      <w:r w:rsidR="00A812FE" w:rsidRPr="00564862">
        <w:rPr>
          <w:rFonts w:eastAsiaTheme="minorHAnsi" w:cs="Arial"/>
        </w:rPr>
        <w:t xml:space="preserve">ionais, política tarifária, </w:t>
      </w:r>
      <w:r w:rsidR="002A539E" w:rsidRPr="00564862">
        <w:rPr>
          <w:rFonts w:eastAsiaTheme="minorHAnsi" w:cs="Arial"/>
        </w:rPr>
        <w:t>etc.</w:t>
      </w:r>
      <w:r w:rsidR="00A812FE" w:rsidRPr="00564862">
        <w:rPr>
          <w:rFonts w:eastAsiaTheme="minorHAnsi" w:cs="Arial"/>
        </w:rPr>
        <w:t>;</w:t>
      </w:r>
      <w:bookmarkEnd w:id="35"/>
      <w:bookmarkEnd w:id="36"/>
      <w:bookmarkEnd w:id="37"/>
    </w:p>
    <w:p w14:paraId="08210ECE" w14:textId="77777777" w:rsidR="00B737B2" w:rsidRPr="00564862" w:rsidRDefault="00B737B2" w:rsidP="00564862">
      <w:pPr>
        <w:pStyle w:val="PargrafodaLista"/>
        <w:numPr>
          <w:ilvl w:val="0"/>
          <w:numId w:val="43"/>
        </w:numPr>
        <w:spacing w:line="360" w:lineRule="auto"/>
        <w:jc w:val="both"/>
        <w:rPr>
          <w:rFonts w:eastAsiaTheme="minorHAnsi" w:cs="Arial"/>
        </w:rPr>
      </w:pPr>
      <w:bookmarkStart w:id="38" w:name="_Toc430341667"/>
      <w:bookmarkStart w:id="39" w:name="_Toc464481571"/>
      <w:bookmarkStart w:id="40" w:name="_Toc464485165"/>
      <w:r w:rsidRPr="00564862">
        <w:rPr>
          <w:rFonts w:eastAsiaTheme="minorHAnsi" w:cs="Arial"/>
        </w:rPr>
        <w:t>Outra informação</w:t>
      </w:r>
      <w:r w:rsidR="00BE72A2" w:rsidRPr="00564862">
        <w:rPr>
          <w:rFonts w:eastAsiaTheme="minorHAnsi" w:cs="Arial"/>
        </w:rPr>
        <w:t xml:space="preserve"> que contribua para um melhor enquadramento d</w:t>
      </w:r>
      <w:r w:rsidR="00D41C1C" w:rsidRPr="00564862">
        <w:rPr>
          <w:rFonts w:eastAsiaTheme="minorHAnsi" w:cs="Arial"/>
        </w:rPr>
        <w:t>a operação</w:t>
      </w:r>
      <w:r w:rsidRPr="00564862">
        <w:rPr>
          <w:rFonts w:eastAsiaTheme="minorHAnsi" w:cs="Arial"/>
        </w:rPr>
        <w:t>,</w:t>
      </w:r>
      <w:r w:rsidR="006713DB" w:rsidRPr="00564862">
        <w:rPr>
          <w:rFonts w:eastAsiaTheme="minorHAnsi" w:cs="Arial"/>
        </w:rPr>
        <w:t xml:space="preserve"> a qual deve ser,</w:t>
      </w:r>
      <w:r w:rsidR="00BE72A2" w:rsidRPr="00564862">
        <w:rPr>
          <w:rFonts w:eastAsiaTheme="minorHAnsi" w:cs="Arial"/>
        </w:rPr>
        <w:t xml:space="preserve"> sempre que possível,</w:t>
      </w:r>
      <w:r w:rsidRPr="00564862">
        <w:rPr>
          <w:rFonts w:eastAsiaTheme="minorHAnsi" w:cs="Arial"/>
        </w:rPr>
        <w:t xml:space="preserve"> </w:t>
      </w:r>
      <w:r w:rsidR="00BE72A2" w:rsidRPr="00564862">
        <w:rPr>
          <w:rFonts w:eastAsiaTheme="minorHAnsi" w:cs="Arial"/>
        </w:rPr>
        <w:t>suportada</w:t>
      </w:r>
      <w:r w:rsidRPr="00564862">
        <w:rPr>
          <w:rFonts w:eastAsiaTheme="minorHAnsi" w:cs="Arial"/>
        </w:rPr>
        <w:t xml:space="preserve"> por dados estatístico</w:t>
      </w:r>
      <w:r w:rsidR="00A812FE" w:rsidRPr="00564862">
        <w:rPr>
          <w:rFonts w:eastAsiaTheme="minorHAnsi" w:cs="Arial"/>
        </w:rPr>
        <w:t>s;</w:t>
      </w:r>
      <w:bookmarkEnd w:id="38"/>
      <w:bookmarkEnd w:id="39"/>
      <w:bookmarkEnd w:id="40"/>
    </w:p>
    <w:p w14:paraId="774198B9" w14:textId="77777777" w:rsidR="001A1C20" w:rsidRPr="001A1C20" w:rsidRDefault="001A1C20" w:rsidP="000D7502">
      <w:pPr>
        <w:spacing w:before="120" w:after="120" w:line="360" w:lineRule="auto"/>
        <w:ind w:left="284"/>
        <w:rPr>
          <w:rFonts w:asciiTheme="minorHAnsi" w:eastAsiaTheme="minorHAnsi" w:hAnsiTheme="minorHAnsi" w:cstheme="minorBidi"/>
          <w:spacing w:val="0"/>
          <w:sz w:val="22"/>
          <w:szCs w:val="22"/>
          <w:u w:val="single"/>
        </w:rPr>
      </w:pPr>
      <w:r>
        <w:rPr>
          <w:rFonts w:asciiTheme="minorHAnsi" w:eastAsiaTheme="minorHAnsi" w:hAnsiTheme="minorHAnsi" w:cstheme="minorBidi"/>
          <w:spacing w:val="0"/>
          <w:sz w:val="22"/>
          <w:szCs w:val="22"/>
          <w:u w:val="single"/>
        </w:rPr>
        <w:t>Identificação</w:t>
      </w:r>
      <w:r w:rsidRPr="001A1C20">
        <w:rPr>
          <w:rFonts w:asciiTheme="minorHAnsi" w:eastAsiaTheme="minorHAnsi" w:hAnsiTheme="minorHAnsi" w:cstheme="minorBidi"/>
          <w:spacing w:val="0"/>
          <w:sz w:val="22"/>
          <w:szCs w:val="22"/>
          <w:u w:val="single"/>
        </w:rPr>
        <w:t xml:space="preserve"> d</w:t>
      </w:r>
      <w:r w:rsidR="00D41C1C" w:rsidRPr="00D41C1C">
        <w:rPr>
          <w:rFonts w:asciiTheme="minorHAnsi" w:eastAsiaTheme="minorHAnsi" w:hAnsiTheme="minorHAnsi" w:cstheme="minorBidi"/>
          <w:spacing w:val="0"/>
          <w:sz w:val="22"/>
          <w:szCs w:val="22"/>
          <w:u w:val="single"/>
        </w:rPr>
        <w:t>a operação</w:t>
      </w:r>
    </w:p>
    <w:p w14:paraId="2A8CF1A3" w14:textId="77777777" w:rsidR="00A812FE" w:rsidRPr="00564862" w:rsidRDefault="00A812FE" w:rsidP="00564862">
      <w:pPr>
        <w:pStyle w:val="PargrafodaLista"/>
        <w:numPr>
          <w:ilvl w:val="0"/>
          <w:numId w:val="43"/>
        </w:numPr>
        <w:spacing w:line="360" w:lineRule="auto"/>
        <w:jc w:val="both"/>
        <w:rPr>
          <w:rFonts w:eastAsiaTheme="minorHAnsi" w:cs="Arial"/>
        </w:rPr>
      </w:pPr>
      <w:bookmarkStart w:id="41" w:name="_Toc430341668"/>
      <w:bookmarkStart w:id="42" w:name="_Toc464481572"/>
      <w:bookmarkStart w:id="43" w:name="_Toc464485166"/>
      <w:r w:rsidRPr="00564862">
        <w:rPr>
          <w:rFonts w:eastAsiaTheme="minorHAnsi" w:cs="Arial"/>
        </w:rPr>
        <w:t>Cabal identificação dos objetivos d</w:t>
      </w:r>
      <w:r w:rsidR="00D41C1C" w:rsidRPr="00564862">
        <w:rPr>
          <w:rFonts w:eastAsiaTheme="minorHAnsi" w:cs="Arial"/>
        </w:rPr>
        <w:t>a operação</w:t>
      </w:r>
      <w:r w:rsidRPr="00564862">
        <w:rPr>
          <w:rFonts w:eastAsiaTheme="minorHAnsi" w:cs="Arial"/>
        </w:rPr>
        <w:t>, tendo por base o reconhecimento das necessidade</w:t>
      </w:r>
      <w:r w:rsidR="00543093" w:rsidRPr="00564862">
        <w:rPr>
          <w:rFonts w:eastAsiaTheme="minorHAnsi" w:cs="Arial"/>
        </w:rPr>
        <w:t>s</w:t>
      </w:r>
      <w:r w:rsidRPr="00564862">
        <w:rPr>
          <w:rFonts w:eastAsiaTheme="minorHAnsi" w:cs="Arial"/>
        </w:rPr>
        <w:t xml:space="preserve"> específicas do setor em que se insere. Os mesmos devem, sempre que possível ser quantificados numa ótica pré e pós projeto, de modo a serem futuramente avaliados no âmbito de uma Análise Custo-Benefício;</w:t>
      </w:r>
      <w:bookmarkEnd w:id="41"/>
      <w:bookmarkEnd w:id="42"/>
      <w:bookmarkEnd w:id="43"/>
    </w:p>
    <w:p w14:paraId="7C1EBA93" w14:textId="77777777" w:rsidR="00D10573" w:rsidRPr="00564862" w:rsidRDefault="00A812FE" w:rsidP="00564862">
      <w:pPr>
        <w:pStyle w:val="PargrafodaLista"/>
        <w:numPr>
          <w:ilvl w:val="0"/>
          <w:numId w:val="43"/>
        </w:numPr>
        <w:spacing w:line="360" w:lineRule="auto"/>
        <w:jc w:val="both"/>
        <w:rPr>
          <w:rFonts w:eastAsiaTheme="minorHAnsi" w:cs="Arial"/>
        </w:rPr>
      </w:pPr>
      <w:bookmarkStart w:id="44" w:name="_Toc430341669"/>
      <w:bookmarkStart w:id="45" w:name="_Toc464481573"/>
      <w:bookmarkStart w:id="46" w:name="_Toc464485167"/>
      <w:r w:rsidRPr="00564862">
        <w:rPr>
          <w:rFonts w:eastAsiaTheme="minorHAnsi" w:cs="Arial"/>
        </w:rPr>
        <w:t>Clara identificação das componentes do investimento</w:t>
      </w:r>
      <w:r w:rsidR="00D10573" w:rsidRPr="00564862">
        <w:rPr>
          <w:rFonts w:eastAsiaTheme="minorHAnsi" w:cs="Arial"/>
        </w:rPr>
        <w:t xml:space="preserve">, entendido como unidade autossuficiente. Neste contexto, não deve ser considerada a divisão de projetos complementares, por um lado, </w:t>
      </w:r>
      <w:r w:rsidR="00613FAF" w:rsidRPr="00564862">
        <w:rPr>
          <w:rFonts w:eastAsiaTheme="minorHAnsi" w:cs="Arial"/>
        </w:rPr>
        <w:t>nem a consolidação de investimentos independentes ainda que inter-relacionados, por outro.</w:t>
      </w:r>
      <w:bookmarkEnd w:id="44"/>
      <w:bookmarkEnd w:id="45"/>
      <w:bookmarkEnd w:id="46"/>
    </w:p>
    <w:p w14:paraId="41E89ABB" w14:textId="77777777" w:rsidR="00613FAF" w:rsidRPr="00564862" w:rsidRDefault="00613FAF" w:rsidP="00564862">
      <w:pPr>
        <w:pStyle w:val="PargrafodaLista"/>
        <w:numPr>
          <w:ilvl w:val="0"/>
          <w:numId w:val="43"/>
        </w:numPr>
        <w:spacing w:line="360" w:lineRule="auto"/>
        <w:jc w:val="both"/>
        <w:rPr>
          <w:rFonts w:eastAsiaTheme="minorHAnsi" w:cs="Arial"/>
        </w:rPr>
      </w:pPr>
      <w:bookmarkStart w:id="47" w:name="_Toc430341670"/>
      <w:bookmarkStart w:id="48" w:name="_Toc464481574"/>
      <w:bookmarkStart w:id="49" w:name="_Toc464485168"/>
      <w:r w:rsidRPr="00564862">
        <w:rPr>
          <w:rFonts w:eastAsiaTheme="minorHAnsi" w:cs="Arial"/>
        </w:rPr>
        <w:t>I</w:t>
      </w:r>
      <w:r w:rsidR="00543093" w:rsidRPr="00564862">
        <w:rPr>
          <w:rFonts w:eastAsiaTheme="minorHAnsi" w:cs="Arial"/>
        </w:rPr>
        <w:t>nvestimentos futuros essenciais à</w:t>
      </w:r>
      <w:r w:rsidRPr="00564862">
        <w:rPr>
          <w:rFonts w:eastAsiaTheme="minorHAnsi" w:cs="Arial"/>
        </w:rPr>
        <w:t xml:space="preserve"> prossecução dos objetivos definidos devem também ser considerados.</w:t>
      </w:r>
      <w:bookmarkEnd w:id="47"/>
      <w:bookmarkEnd w:id="48"/>
      <w:bookmarkEnd w:id="49"/>
    </w:p>
    <w:p w14:paraId="1384BF32" w14:textId="77777777" w:rsidR="00613FAF" w:rsidRPr="00564862" w:rsidRDefault="00613FAF" w:rsidP="00564862">
      <w:pPr>
        <w:pStyle w:val="PargrafodaLista"/>
        <w:numPr>
          <w:ilvl w:val="0"/>
          <w:numId w:val="43"/>
        </w:numPr>
        <w:spacing w:line="360" w:lineRule="auto"/>
        <w:jc w:val="both"/>
        <w:rPr>
          <w:rFonts w:eastAsiaTheme="minorHAnsi" w:cs="Arial"/>
        </w:rPr>
      </w:pPr>
      <w:bookmarkStart w:id="50" w:name="_Toc430341671"/>
      <w:bookmarkStart w:id="51" w:name="_Toc464481575"/>
      <w:bookmarkStart w:id="52" w:name="_Toc464485169"/>
      <w:r w:rsidRPr="00564862">
        <w:rPr>
          <w:rFonts w:eastAsiaTheme="minorHAnsi" w:cs="Arial"/>
        </w:rPr>
        <w:t>Identificação da entidade responsável pela implementação d</w:t>
      </w:r>
      <w:r w:rsidR="00D41C1C" w:rsidRPr="00564862">
        <w:rPr>
          <w:rFonts w:eastAsiaTheme="minorHAnsi" w:cs="Arial"/>
        </w:rPr>
        <w:t>a operação</w:t>
      </w:r>
      <w:r w:rsidRPr="00564862">
        <w:rPr>
          <w:rFonts w:eastAsiaTheme="minorHAnsi" w:cs="Arial"/>
        </w:rPr>
        <w:t>, e sua caracterização em termos de capacidade técnica, financeira e institucional</w:t>
      </w:r>
      <w:r w:rsidR="00C84965" w:rsidRPr="00564862">
        <w:rPr>
          <w:rFonts w:eastAsiaTheme="minorHAnsi" w:cs="Arial"/>
        </w:rPr>
        <w:t>.</w:t>
      </w:r>
      <w:bookmarkEnd w:id="50"/>
      <w:bookmarkEnd w:id="51"/>
      <w:bookmarkEnd w:id="52"/>
    </w:p>
    <w:p w14:paraId="66A78AAC" w14:textId="77777777" w:rsidR="008A221F" w:rsidRPr="00564862" w:rsidRDefault="005E18F3" w:rsidP="00564862">
      <w:pPr>
        <w:pStyle w:val="PargrafodaLista"/>
        <w:numPr>
          <w:ilvl w:val="0"/>
          <w:numId w:val="43"/>
        </w:numPr>
        <w:spacing w:line="360" w:lineRule="auto"/>
        <w:jc w:val="both"/>
        <w:rPr>
          <w:rFonts w:eastAsiaTheme="minorHAnsi" w:cs="Arial"/>
        </w:rPr>
      </w:pPr>
      <w:bookmarkStart w:id="53" w:name="_Toc464481576"/>
      <w:bookmarkStart w:id="54" w:name="_Toc464485170"/>
      <w:r w:rsidRPr="00564862">
        <w:rPr>
          <w:rFonts w:eastAsiaTheme="minorHAnsi" w:cs="Arial"/>
        </w:rPr>
        <w:t>Identificação</w:t>
      </w:r>
      <w:r w:rsidR="008A221F" w:rsidRPr="00564862">
        <w:rPr>
          <w:rFonts w:eastAsiaTheme="minorHAnsi" w:cs="Arial"/>
        </w:rPr>
        <w:t xml:space="preserve"> </w:t>
      </w:r>
      <w:r w:rsidRPr="00564862">
        <w:rPr>
          <w:rFonts w:eastAsiaTheme="minorHAnsi" w:cs="Arial"/>
        </w:rPr>
        <w:t>d</w:t>
      </w:r>
      <w:r w:rsidR="008A221F" w:rsidRPr="00564862">
        <w:rPr>
          <w:rFonts w:eastAsiaTheme="minorHAnsi" w:cs="Arial"/>
        </w:rPr>
        <w:t>os agentes e respetivos fluxos de transações (compra/venda) estabelecidos no âmbito do incremento cofinanciado</w:t>
      </w:r>
      <w:r w:rsidRPr="00564862">
        <w:rPr>
          <w:rFonts w:eastAsiaTheme="minorHAnsi" w:cs="Arial"/>
        </w:rPr>
        <w:t>.</w:t>
      </w:r>
      <w:bookmarkEnd w:id="53"/>
      <w:bookmarkEnd w:id="54"/>
    </w:p>
    <w:p w14:paraId="447FDA73" w14:textId="77777777" w:rsidR="00C84965" w:rsidRPr="00C84965" w:rsidRDefault="00C84965" w:rsidP="000D7502">
      <w:pPr>
        <w:spacing w:before="120" w:after="120" w:line="360" w:lineRule="auto"/>
        <w:ind w:left="284"/>
        <w:rPr>
          <w:rFonts w:asciiTheme="minorHAnsi" w:eastAsiaTheme="minorHAnsi" w:hAnsiTheme="minorHAnsi" w:cstheme="minorBidi"/>
          <w:spacing w:val="0"/>
          <w:sz w:val="22"/>
          <w:szCs w:val="22"/>
          <w:u w:val="single"/>
        </w:rPr>
      </w:pPr>
      <w:r w:rsidRPr="00C84965">
        <w:rPr>
          <w:rFonts w:asciiTheme="minorHAnsi" w:eastAsiaTheme="minorHAnsi" w:hAnsiTheme="minorHAnsi" w:cstheme="minorBidi"/>
          <w:spacing w:val="0"/>
          <w:sz w:val="22"/>
          <w:szCs w:val="22"/>
          <w:u w:val="single"/>
        </w:rPr>
        <w:t>Identificação da área de intervenção</w:t>
      </w:r>
    </w:p>
    <w:p w14:paraId="77EC522E" w14:textId="77777777" w:rsidR="009D51E4" w:rsidRDefault="00C84965" w:rsidP="00564862">
      <w:pPr>
        <w:pStyle w:val="PargrafodaLista"/>
        <w:numPr>
          <w:ilvl w:val="0"/>
          <w:numId w:val="43"/>
        </w:numPr>
        <w:spacing w:line="360" w:lineRule="auto"/>
        <w:jc w:val="both"/>
        <w:rPr>
          <w:rFonts w:eastAsiaTheme="minorHAnsi" w:cs="Arial"/>
        </w:rPr>
      </w:pPr>
      <w:bookmarkStart w:id="55" w:name="_Toc430341672"/>
      <w:bookmarkStart w:id="56" w:name="_Toc464481577"/>
      <w:bookmarkStart w:id="57" w:name="_Toc464485171"/>
      <w:r w:rsidRPr="00564862">
        <w:rPr>
          <w:rFonts w:eastAsiaTheme="minorHAnsi" w:cs="Arial"/>
        </w:rPr>
        <w:t xml:space="preserve">Descrição da zona de impacto </w:t>
      </w:r>
      <w:r w:rsidR="00D41C1C" w:rsidRPr="00564862">
        <w:rPr>
          <w:rFonts w:eastAsiaTheme="minorHAnsi" w:cs="Arial"/>
        </w:rPr>
        <w:t xml:space="preserve">da operação </w:t>
      </w:r>
      <w:r w:rsidRPr="00564862">
        <w:rPr>
          <w:rFonts w:eastAsiaTheme="minorHAnsi" w:cs="Arial"/>
        </w:rPr>
        <w:t xml:space="preserve">e identificação dos seus beneficiários finais, </w:t>
      </w:r>
      <w:r w:rsidR="006713DB" w:rsidRPr="00564862">
        <w:rPr>
          <w:rFonts w:eastAsiaTheme="minorHAnsi" w:cs="Arial"/>
        </w:rPr>
        <w:t xml:space="preserve">incluindo </w:t>
      </w:r>
      <w:r w:rsidRPr="00564862">
        <w:rPr>
          <w:rFonts w:eastAsiaTheme="minorHAnsi" w:cs="Arial"/>
        </w:rPr>
        <w:t>a população diretamente beneficiada e demais agentes interessados.</w:t>
      </w:r>
      <w:bookmarkEnd w:id="55"/>
      <w:bookmarkEnd w:id="56"/>
      <w:bookmarkEnd w:id="57"/>
    </w:p>
    <w:p w14:paraId="401997D6" w14:textId="77777777" w:rsidR="00B737B2" w:rsidRPr="009D51E4" w:rsidRDefault="009D51E4" w:rsidP="009D51E4">
      <w:pPr>
        <w:ind w:left="0"/>
        <w:rPr>
          <w:rFonts w:ascii="Calibri" w:eastAsiaTheme="minorHAnsi" w:hAnsi="Calibri" w:cs="Arial"/>
          <w:spacing w:val="0"/>
          <w:sz w:val="22"/>
          <w:szCs w:val="22"/>
        </w:rPr>
      </w:pPr>
      <w:r>
        <w:rPr>
          <w:rFonts w:eastAsiaTheme="minorHAnsi" w:cs="Arial"/>
        </w:rPr>
        <w:br w:type="page"/>
      </w:r>
    </w:p>
    <w:p w14:paraId="30E2C097" w14:textId="77777777" w:rsidR="006136D0" w:rsidRPr="009D51E4" w:rsidRDefault="006136D0" w:rsidP="009D51E4">
      <w:pPr>
        <w:pStyle w:val="PargrafodaLista"/>
        <w:numPr>
          <w:ilvl w:val="0"/>
          <w:numId w:val="44"/>
        </w:numPr>
        <w:ind w:left="567" w:firstLine="0"/>
        <w:rPr>
          <w:rFonts w:asciiTheme="minorHAnsi" w:hAnsiTheme="minorHAnsi" w:cs="Aparajita"/>
          <w:b/>
          <w:color w:val="4BACC6" w:themeColor="accent5"/>
        </w:rPr>
      </w:pPr>
      <w:bookmarkStart w:id="58" w:name="_Toc464481578"/>
      <w:bookmarkStart w:id="59" w:name="_Toc464485172"/>
      <w:r w:rsidRPr="009D51E4">
        <w:rPr>
          <w:rFonts w:asciiTheme="minorHAnsi" w:hAnsiTheme="minorHAnsi" w:cs="Aparajita"/>
          <w:b/>
          <w:color w:val="4BACC6" w:themeColor="accent5"/>
        </w:rPr>
        <w:lastRenderedPageBreak/>
        <w:t>Análise de Rentabilidade Financeira</w:t>
      </w:r>
      <w:bookmarkEnd w:id="58"/>
      <w:bookmarkEnd w:id="59"/>
    </w:p>
    <w:p w14:paraId="06031E27" w14:textId="77777777" w:rsidR="00E464D1" w:rsidRDefault="00A7070A" w:rsidP="002A539E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Para efeitos da análise da rentabilidade financeira de um investimento </w:t>
      </w:r>
      <w:r w:rsidR="009E4B0E">
        <w:rPr>
          <w:rFonts w:asciiTheme="minorHAnsi" w:hAnsiTheme="minorHAnsi"/>
          <w:sz w:val="22"/>
          <w:szCs w:val="22"/>
        </w:rPr>
        <w:t xml:space="preserve">(capacidade das receitas líquidas de exploração para cobrir os custos de investimento, independentemente da forma como estes são financiados) </w:t>
      </w:r>
      <w:r>
        <w:rPr>
          <w:rFonts w:asciiTheme="minorHAnsi" w:hAnsiTheme="minorHAnsi"/>
          <w:sz w:val="22"/>
          <w:szCs w:val="22"/>
        </w:rPr>
        <w:t xml:space="preserve">são seguidamente descritos os pressupostos a considerar </w:t>
      </w:r>
      <w:r w:rsidR="00024BDA">
        <w:rPr>
          <w:rFonts w:asciiTheme="minorHAnsi" w:hAnsiTheme="minorHAnsi"/>
          <w:sz w:val="22"/>
          <w:szCs w:val="22"/>
        </w:rPr>
        <w:t>para a consolidação da análise financeira prévia</w:t>
      </w:r>
      <w:r w:rsidR="00B452EE">
        <w:rPr>
          <w:rFonts w:asciiTheme="minorHAnsi" w:hAnsiTheme="minorHAnsi"/>
          <w:sz w:val="22"/>
          <w:szCs w:val="22"/>
        </w:rPr>
        <w:t xml:space="preserve"> a realizar</w:t>
      </w:r>
      <w:r w:rsidR="006713DB">
        <w:rPr>
          <w:rFonts w:asciiTheme="minorHAnsi" w:hAnsiTheme="minorHAnsi"/>
          <w:sz w:val="22"/>
          <w:szCs w:val="22"/>
        </w:rPr>
        <w:t>,</w:t>
      </w:r>
      <w:r w:rsidR="00B452EE">
        <w:rPr>
          <w:rFonts w:asciiTheme="minorHAnsi" w:hAnsiTheme="minorHAnsi"/>
          <w:sz w:val="22"/>
          <w:szCs w:val="22"/>
        </w:rPr>
        <w:t xml:space="preserve"> tendo por base a elaboração de um Estudo de Viabilidade Financeira (EVF) adequadamente suportado.</w:t>
      </w:r>
    </w:p>
    <w:p w14:paraId="16491BBF" w14:textId="77777777" w:rsidR="007E6BAA" w:rsidRDefault="007E6BAA" w:rsidP="002A539E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</w:p>
    <w:p w14:paraId="40A8619C" w14:textId="77777777" w:rsidR="00A7070A" w:rsidRPr="009D51E4" w:rsidRDefault="00A7070A" w:rsidP="009D51E4">
      <w:pPr>
        <w:spacing w:line="360" w:lineRule="auto"/>
        <w:ind w:left="833" w:hanging="833"/>
        <w:rPr>
          <w:rFonts w:asciiTheme="minorHAnsi" w:eastAsia="Calibri" w:hAnsiTheme="minorHAnsi"/>
          <w:b/>
          <w:color w:val="4BACC6" w:themeColor="accent5"/>
          <w:sz w:val="22"/>
          <w:szCs w:val="22"/>
          <w:u w:val="single"/>
        </w:rPr>
      </w:pPr>
      <w:bookmarkStart w:id="60" w:name="_Toc430341674"/>
      <w:bookmarkStart w:id="61" w:name="_Toc464481579"/>
      <w:bookmarkStart w:id="62" w:name="_Toc464485173"/>
      <w:r w:rsidRPr="009D51E4">
        <w:rPr>
          <w:rFonts w:asciiTheme="minorHAnsi" w:eastAsia="Calibri" w:hAnsiTheme="minorHAnsi"/>
          <w:b/>
          <w:color w:val="4BACC6" w:themeColor="accent5"/>
          <w:sz w:val="22"/>
          <w:szCs w:val="22"/>
          <w:u w:val="single"/>
        </w:rPr>
        <w:t>Pressupostos Metodológicos</w:t>
      </w:r>
      <w:bookmarkEnd w:id="60"/>
      <w:bookmarkEnd w:id="61"/>
      <w:bookmarkEnd w:id="62"/>
    </w:p>
    <w:p w14:paraId="16B5744B" w14:textId="77777777" w:rsidR="00F34B24" w:rsidRPr="000120EA" w:rsidRDefault="006713DB" w:rsidP="00305028">
      <w:pPr>
        <w:numPr>
          <w:ilvl w:val="0"/>
          <w:numId w:val="16"/>
        </w:numPr>
        <w:spacing w:before="120" w:after="120" w:line="360" w:lineRule="auto"/>
        <w:ind w:left="851" w:hanging="425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>
        <w:rPr>
          <w:rFonts w:asciiTheme="minorHAnsi" w:eastAsia="Calibri" w:hAnsiTheme="minorHAnsi"/>
          <w:spacing w:val="0"/>
          <w:sz w:val="22"/>
          <w:szCs w:val="22"/>
        </w:rPr>
        <w:t>A análise financeira d</w:t>
      </w:r>
      <w:r w:rsidR="00F34B24" w:rsidRPr="000120EA">
        <w:rPr>
          <w:rFonts w:asciiTheme="minorHAnsi" w:eastAsia="Calibri" w:hAnsiTheme="minorHAnsi"/>
          <w:spacing w:val="0"/>
          <w:sz w:val="22"/>
          <w:szCs w:val="22"/>
        </w:rPr>
        <w:t>eve ser efetuada na perspetiva do proprietário e operador do projeto, permitindo verificar os fluxos de caixa e garantir saldos positivos de tesouraria.</w:t>
      </w:r>
    </w:p>
    <w:p w14:paraId="4A3B13D3" w14:textId="77777777" w:rsidR="00F34B24" w:rsidRPr="000120EA" w:rsidRDefault="00F34B24" w:rsidP="00D41C1C">
      <w:pPr>
        <w:numPr>
          <w:ilvl w:val="0"/>
          <w:numId w:val="16"/>
        </w:numPr>
        <w:spacing w:before="120" w:after="120" w:line="360" w:lineRule="auto"/>
        <w:ind w:left="851" w:hanging="425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0120EA">
        <w:rPr>
          <w:rFonts w:asciiTheme="minorHAnsi" w:eastAsia="Calibri" w:hAnsiTheme="minorHAnsi"/>
          <w:spacing w:val="0"/>
          <w:sz w:val="22"/>
          <w:szCs w:val="22"/>
        </w:rPr>
        <w:t xml:space="preserve">Se o proprietário e o operador não forem a mesma entidade, deve ser efetuada uma </w:t>
      </w:r>
      <w:r w:rsidRPr="000120EA">
        <w:rPr>
          <w:rFonts w:asciiTheme="minorHAnsi" w:eastAsia="Calibri" w:hAnsiTheme="minorHAnsi"/>
          <w:b/>
          <w:spacing w:val="0"/>
          <w:sz w:val="22"/>
          <w:szCs w:val="22"/>
        </w:rPr>
        <w:t>análise financeira consolidada</w:t>
      </w:r>
      <w:r w:rsidRPr="000120EA">
        <w:rPr>
          <w:rFonts w:asciiTheme="minorHAnsi" w:eastAsia="Calibri" w:hAnsiTheme="minorHAnsi"/>
          <w:spacing w:val="0"/>
          <w:sz w:val="22"/>
          <w:szCs w:val="22"/>
        </w:rPr>
        <w:t>, excluindo os fluxos de caixa entre o proprietário e o operador</w:t>
      </w:r>
      <w:r w:rsidRPr="000120EA">
        <w:rPr>
          <w:rFonts w:asciiTheme="minorHAnsi" w:eastAsia="Calibri" w:hAnsiTheme="minorHAnsi"/>
          <w:spacing w:val="0"/>
          <w:sz w:val="22"/>
          <w:szCs w:val="22"/>
          <w:vertAlign w:val="superscript"/>
        </w:rPr>
        <w:footnoteReference w:id="2"/>
      </w:r>
      <w:r w:rsidRPr="000120EA">
        <w:rPr>
          <w:rFonts w:asciiTheme="minorHAnsi" w:eastAsia="Calibri" w:hAnsiTheme="minorHAnsi"/>
          <w:spacing w:val="0"/>
          <w:sz w:val="22"/>
          <w:szCs w:val="22"/>
        </w:rPr>
        <w:t xml:space="preserve">. Neste contexto, o que releva é o desempenho financeiro </w:t>
      </w:r>
      <w:r w:rsidR="00D41C1C">
        <w:rPr>
          <w:rFonts w:asciiTheme="minorHAnsi" w:eastAsia="Calibri" w:hAnsiTheme="minorHAnsi"/>
          <w:spacing w:val="0"/>
          <w:sz w:val="22"/>
          <w:szCs w:val="22"/>
        </w:rPr>
        <w:t>do investimento</w:t>
      </w:r>
      <w:r w:rsidRPr="000120EA">
        <w:rPr>
          <w:rFonts w:asciiTheme="minorHAnsi" w:eastAsia="Calibri" w:hAnsiTheme="minorHAnsi"/>
          <w:spacing w:val="0"/>
          <w:sz w:val="22"/>
          <w:szCs w:val="22"/>
        </w:rPr>
        <w:t xml:space="preserve"> cofinanciado.</w:t>
      </w:r>
    </w:p>
    <w:p w14:paraId="5774506E" w14:textId="77777777" w:rsidR="00F34B24" w:rsidRPr="000120EA" w:rsidRDefault="00F34B24" w:rsidP="00305028">
      <w:pPr>
        <w:numPr>
          <w:ilvl w:val="0"/>
          <w:numId w:val="16"/>
        </w:numPr>
        <w:spacing w:before="120" w:after="120" w:line="360" w:lineRule="auto"/>
        <w:ind w:left="851" w:hanging="425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0120EA">
        <w:rPr>
          <w:rFonts w:asciiTheme="minorHAnsi" w:eastAsia="Calibri" w:hAnsiTheme="minorHAnsi"/>
          <w:spacing w:val="0"/>
          <w:sz w:val="22"/>
          <w:szCs w:val="22"/>
        </w:rPr>
        <w:t xml:space="preserve">Sempre que a operação seja parte integrante de um projeto mais abrangente, </w:t>
      </w:r>
      <w:r w:rsidR="00021379">
        <w:rPr>
          <w:rFonts w:asciiTheme="minorHAnsi" w:eastAsia="Calibri" w:hAnsiTheme="minorHAnsi"/>
          <w:spacing w:val="0"/>
          <w:sz w:val="22"/>
          <w:szCs w:val="22"/>
        </w:rPr>
        <w:t xml:space="preserve">a análise </w:t>
      </w:r>
      <w:r w:rsidRPr="000120EA">
        <w:rPr>
          <w:rFonts w:asciiTheme="minorHAnsi" w:eastAsia="Calibri" w:hAnsiTheme="minorHAnsi"/>
          <w:spacing w:val="0"/>
          <w:sz w:val="22"/>
          <w:szCs w:val="22"/>
        </w:rPr>
        <w:t>deve ser realizada ao nível do projeto em si (unidade autossuficiente), independentemente das parcelas financiadas.</w:t>
      </w:r>
    </w:p>
    <w:p w14:paraId="243E7071" w14:textId="77777777" w:rsidR="00F34B24" w:rsidRPr="000120EA" w:rsidRDefault="00021379" w:rsidP="00305028">
      <w:pPr>
        <w:numPr>
          <w:ilvl w:val="0"/>
          <w:numId w:val="16"/>
        </w:numPr>
        <w:spacing w:before="120" w:after="120" w:line="360" w:lineRule="auto"/>
        <w:ind w:left="851" w:hanging="425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>
        <w:rPr>
          <w:rFonts w:asciiTheme="minorHAnsi" w:eastAsia="Calibri" w:hAnsiTheme="minorHAnsi"/>
          <w:spacing w:val="0"/>
          <w:sz w:val="22"/>
          <w:szCs w:val="22"/>
        </w:rPr>
        <w:t>A análise financeira d</w:t>
      </w:r>
      <w:r w:rsidR="00F34B24" w:rsidRPr="000120EA">
        <w:rPr>
          <w:rFonts w:asciiTheme="minorHAnsi" w:eastAsia="Calibri" w:hAnsiTheme="minorHAnsi"/>
          <w:spacing w:val="0"/>
          <w:sz w:val="22"/>
          <w:szCs w:val="22"/>
        </w:rPr>
        <w:t>eve ser efetuada com base em fluxos de caixa atualizados, sendo que:</w:t>
      </w:r>
    </w:p>
    <w:p w14:paraId="43067213" w14:textId="6CDD15E8" w:rsidR="00D7288F" w:rsidRPr="00F55BB0" w:rsidRDefault="00BD77D9" w:rsidP="00D7288F">
      <w:pPr>
        <w:numPr>
          <w:ilvl w:val="0"/>
          <w:numId w:val="17"/>
        </w:numPr>
        <w:spacing w:before="120" w:after="120" w:line="360" w:lineRule="auto"/>
        <w:ind w:left="1276" w:hanging="284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F55BB0">
        <w:rPr>
          <w:rFonts w:asciiTheme="minorHAnsi" w:eastAsia="Calibri" w:hAnsiTheme="minorHAnsi"/>
          <w:spacing w:val="0"/>
          <w:sz w:val="22"/>
          <w:szCs w:val="22"/>
        </w:rPr>
        <w:t xml:space="preserve">O ano base a considerar deve corresponder </w:t>
      </w:r>
      <w:r w:rsidR="002240EF" w:rsidRPr="00F55BB0">
        <w:rPr>
          <w:rFonts w:asciiTheme="minorHAnsi" w:eastAsia="Calibri" w:hAnsiTheme="minorHAnsi"/>
          <w:spacing w:val="0"/>
          <w:sz w:val="22"/>
          <w:szCs w:val="22"/>
        </w:rPr>
        <w:t xml:space="preserve">ao primeiro ano da decisão que torna o investimento irreversível, </w:t>
      </w:r>
      <w:r w:rsidR="00D7288F" w:rsidRPr="00F55BB0">
        <w:rPr>
          <w:rFonts w:asciiTheme="minorHAnsi" w:eastAsia="Calibri" w:hAnsiTheme="minorHAnsi"/>
          <w:spacing w:val="0"/>
          <w:sz w:val="22"/>
          <w:szCs w:val="22"/>
        </w:rPr>
        <w:t xml:space="preserve">considerando-se a partir daqui o momento do “início dos trabalhos”, seja o início dos trabalhos de construção relacionados com o investimento ou o primeiro compromisso firme de encomenda de equipamentos ou outros. Neste contexto, a compra de terrenos e os trabalhos preparatórios, como a obtenção de licenças e a realização de estudos de viabilidade, </w:t>
      </w:r>
      <w:proofErr w:type="spellStart"/>
      <w:r w:rsidR="00D7288F" w:rsidRPr="00F55BB0">
        <w:rPr>
          <w:rFonts w:asciiTheme="minorHAnsi" w:eastAsia="Calibri" w:hAnsiTheme="minorHAnsi"/>
          <w:spacing w:val="0"/>
          <w:sz w:val="22"/>
          <w:szCs w:val="22"/>
        </w:rPr>
        <w:t>etc</w:t>
      </w:r>
      <w:proofErr w:type="spellEnd"/>
      <w:r w:rsidR="00D7288F" w:rsidRPr="00F55BB0">
        <w:rPr>
          <w:rFonts w:asciiTheme="minorHAnsi" w:eastAsia="Calibri" w:hAnsiTheme="minorHAnsi"/>
          <w:spacing w:val="0"/>
          <w:sz w:val="22"/>
          <w:szCs w:val="22"/>
        </w:rPr>
        <w:t xml:space="preserve"> não são considerados início dos trabalhos.</w:t>
      </w:r>
    </w:p>
    <w:p w14:paraId="4833C465" w14:textId="418BF4ED" w:rsidR="001F7B12" w:rsidRDefault="00D7288F" w:rsidP="00D7288F">
      <w:pPr>
        <w:numPr>
          <w:ilvl w:val="0"/>
          <w:numId w:val="17"/>
        </w:numPr>
        <w:spacing w:before="120" w:after="120" w:line="360" w:lineRule="auto"/>
        <w:ind w:left="1276" w:hanging="284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proofErr w:type="gramStart"/>
      <w:r w:rsidRPr="00F55BB0">
        <w:rPr>
          <w:rFonts w:asciiTheme="minorHAnsi" w:eastAsia="Calibri" w:hAnsiTheme="minorHAnsi"/>
          <w:spacing w:val="0"/>
          <w:sz w:val="22"/>
          <w:szCs w:val="22"/>
        </w:rPr>
        <w:t>o</w:t>
      </w:r>
      <w:proofErr w:type="gramEnd"/>
      <w:r w:rsidRPr="00F55BB0">
        <w:rPr>
          <w:rFonts w:asciiTheme="minorHAnsi" w:eastAsia="Calibri" w:hAnsiTheme="minorHAnsi"/>
          <w:spacing w:val="0"/>
          <w:sz w:val="22"/>
          <w:szCs w:val="22"/>
        </w:rPr>
        <w:t xml:space="preserve"> período de referência deverá ser contabilizado a partir </w:t>
      </w:r>
      <w:r w:rsidR="002010BC" w:rsidRPr="00F55BB0">
        <w:rPr>
          <w:rFonts w:asciiTheme="minorHAnsi" w:eastAsia="Calibri" w:hAnsiTheme="minorHAnsi"/>
          <w:spacing w:val="0"/>
          <w:sz w:val="22"/>
          <w:szCs w:val="22"/>
        </w:rPr>
        <w:t xml:space="preserve">do ano base, sendo que </w:t>
      </w:r>
      <w:r w:rsidRPr="00F55BB0">
        <w:rPr>
          <w:rFonts w:asciiTheme="minorHAnsi" w:eastAsia="Calibri" w:hAnsiTheme="minorHAnsi"/>
          <w:spacing w:val="0"/>
          <w:sz w:val="22"/>
          <w:szCs w:val="22"/>
        </w:rPr>
        <w:t xml:space="preserve">eventuais custos de investimento </w:t>
      </w:r>
      <w:r w:rsidR="002010BC" w:rsidRPr="00F55BB0">
        <w:rPr>
          <w:rFonts w:asciiTheme="minorHAnsi" w:eastAsia="Calibri" w:hAnsiTheme="minorHAnsi"/>
          <w:spacing w:val="0"/>
          <w:sz w:val="22"/>
          <w:szCs w:val="22"/>
        </w:rPr>
        <w:t xml:space="preserve">realizados em data </w:t>
      </w:r>
      <w:r w:rsidRPr="00F55BB0">
        <w:rPr>
          <w:rFonts w:asciiTheme="minorHAnsi" w:eastAsia="Calibri" w:hAnsiTheme="minorHAnsi"/>
          <w:spacing w:val="0"/>
          <w:sz w:val="22"/>
          <w:szCs w:val="22"/>
        </w:rPr>
        <w:t>anterior</w:t>
      </w:r>
      <w:r w:rsidR="002010BC" w:rsidRPr="00F55BB0">
        <w:rPr>
          <w:rFonts w:asciiTheme="minorHAnsi" w:eastAsia="Calibri" w:hAnsiTheme="minorHAnsi"/>
          <w:spacing w:val="0"/>
          <w:sz w:val="22"/>
          <w:szCs w:val="22"/>
        </w:rPr>
        <w:t xml:space="preserve">, </w:t>
      </w:r>
      <w:r w:rsidRPr="00F55BB0">
        <w:rPr>
          <w:rFonts w:asciiTheme="minorHAnsi" w:eastAsia="Calibri" w:hAnsiTheme="minorHAnsi"/>
          <w:spacing w:val="0"/>
          <w:sz w:val="22"/>
          <w:szCs w:val="22"/>
        </w:rPr>
        <w:t xml:space="preserve">deverão ser assumidos a preços constantes </w:t>
      </w:r>
      <w:r w:rsidR="002010BC" w:rsidRPr="00F55BB0">
        <w:rPr>
          <w:rFonts w:asciiTheme="minorHAnsi" w:eastAsia="Calibri" w:hAnsiTheme="minorHAnsi"/>
          <w:spacing w:val="0"/>
          <w:sz w:val="22"/>
          <w:szCs w:val="22"/>
        </w:rPr>
        <w:t>do</w:t>
      </w:r>
      <w:r w:rsidRPr="00F55BB0">
        <w:rPr>
          <w:rFonts w:asciiTheme="minorHAnsi" w:eastAsia="Calibri" w:hAnsiTheme="minorHAnsi"/>
          <w:spacing w:val="0"/>
          <w:sz w:val="22"/>
          <w:szCs w:val="22"/>
        </w:rPr>
        <w:t xml:space="preserve"> ano</w:t>
      </w:r>
      <w:r w:rsidR="002010BC" w:rsidRPr="00F55BB0">
        <w:rPr>
          <w:rFonts w:asciiTheme="minorHAnsi" w:eastAsia="Calibri" w:hAnsiTheme="minorHAnsi"/>
          <w:spacing w:val="0"/>
          <w:sz w:val="22"/>
          <w:szCs w:val="22"/>
        </w:rPr>
        <w:t xml:space="preserve"> base</w:t>
      </w:r>
      <w:r w:rsidRPr="00F55BB0">
        <w:rPr>
          <w:rFonts w:asciiTheme="minorHAnsi" w:eastAsia="Calibri" w:hAnsiTheme="minorHAnsi"/>
          <w:spacing w:val="0"/>
          <w:sz w:val="22"/>
          <w:szCs w:val="22"/>
        </w:rPr>
        <w:t>, mediante capitalização pelos IPC (sem aplicação da taxa de atualização financeira de 4%).</w:t>
      </w:r>
    </w:p>
    <w:p w14:paraId="3C673107" w14:textId="668F7D59" w:rsidR="00894726" w:rsidRDefault="00894726" w:rsidP="00F13BFB">
      <w:pPr>
        <w:numPr>
          <w:ilvl w:val="0"/>
          <w:numId w:val="17"/>
        </w:numPr>
        <w:spacing w:before="120" w:after="120" w:line="360" w:lineRule="auto"/>
        <w:ind w:left="1276" w:hanging="284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894726">
        <w:rPr>
          <w:rFonts w:asciiTheme="minorHAnsi" w:eastAsia="Calibri" w:hAnsiTheme="minorHAnsi"/>
          <w:spacing w:val="0"/>
          <w:sz w:val="22"/>
          <w:szCs w:val="22"/>
        </w:rPr>
        <w:t xml:space="preserve">Todos os fluxos financeiros </w:t>
      </w:r>
      <w:r>
        <w:rPr>
          <w:rFonts w:asciiTheme="minorHAnsi" w:eastAsia="Calibri" w:hAnsiTheme="minorHAnsi"/>
          <w:spacing w:val="0"/>
          <w:sz w:val="22"/>
          <w:szCs w:val="22"/>
        </w:rPr>
        <w:t>de i</w:t>
      </w:r>
      <w:r w:rsidRPr="00894726">
        <w:rPr>
          <w:rFonts w:asciiTheme="minorHAnsi" w:eastAsia="Calibri" w:hAnsiTheme="minorHAnsi"/>
          <w:spacing w:val="0"/>
          <w:sz w:val="22"/>
          <w:szCs w:val="22"/>
        </w:rPr>
        <w:t xml:space="preserve">nvestimento, e de </w:t>
      </w:r>
      <w:r>
        <w:rPr>
          <w:rFonts w:asciiTheme="minorHAnsi" w:eastAsia="Calibri" w:hAnsiTheme="minorHAnsi"/>
          <w:spacing w:val="0"/>
          <w:sz w:val="22"/>
          <w:szCs w:val="22"/>
        </w:rPr>
        <w:t>recebimentos e p</w:t>
      </w:r>
      <w:r w:rsidRPr="00894726">
        <w:rPr>
          <w:rFonts w:asciiTheme="minorHAnsi" w:eastAsia="Calibri" w:hAnsiTheme="minorHAnsi"/>
          <w:spacing w:val="0"/>
          <w:sz w:val="22"/>
          <w:szCs w:val="22"/>
        </w:rPr>
        <w:t xml:space="preserve">agamentos da fase de exploração têm que ser </w:t>
      </w:r>
      <w:r>
        <w:rPr>
          <w:rFonts w:asciiTheme="minorHAnsi" w:eastAsia="Calibri" w:hAnsiTheme="minorHAnsi"/>
          <w:spacing w:val="0"/>
          <w:sz w:val="22"/>
          <w:szCs w:val="22"/>
        </w:rPr>
        <w:t>considerados a preços constantes.</w:t>
      </w:r>
    </w:p>
    <w:p w14:paraId="7BFC904D" w14:textId="5DD0ABBD" w:rsidR="00F34B24" w:rsidRPr="00894726" w:rsidRDefault="00F34B24" w:rsidP="00F13BFB">
      <w:pPr>
        <w:numPr>
          <w:ilvl w:val="0"/>
          <w:numId w:val="17"/>
        </w:numPr>
        <w:spacing w:before="120" w:after="120" w:line="360" w:lineRule="auto"/>
        <w:ind w:left="1276" w:hanging="284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894726">
        <w:rPr>
          <w:rFonts w:asciiTheme="minorHAnsi" w:eastAsia="Calibri" w:hAnsiTheme="minorHAnsi"/>
          <w:spacing w:val="0"/>
          <w:sz w:val="22"/>
          <w:szCs w:val="22"/>
        </w:rPr>
        <w:lastRenderedPageBreak/>
        <w:t>A conversão de preços correntes para preços constantes deve ser feita com base no Índice de Preços do Consumidor publicado oficialmente.</w:t>
      </w:r>
    </w:p>
    <w:p w14:paraId="2338DD66" w14:textId="590D6011" w:rsidR="00BD77D9" w:rsidRPr="00BD77D9" w:rsidRDefault="00BD77D9" w:rsidP="00BD77D9">
      <w:pPr>
        <w:numPr>
          <w:ilvl w:val="0"/>
          <w:numId w:val="17"/>
        </w:numPr>
        <w:spacing w:before="120" w:after="120" w:line="360" w:lineRule="auto"/>
        <w:ind w:left="1276" w:hanging="284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BD77D9">
        <w:rPr>
          <w:rFonts w:asciiTheme="minorHAnsi" w:eastAsia="Calibri" w:hAnsiTheme="minorHAnsi"/>
          <w:spacing w:val="0"/>
          <w:sz w:val="22"/>
          <w:szCs w:val="22"/>
        </w:rPr>
        <w:t xml:space="preserve">A atualização dos fluxos de </w:t>
      </w:r>
      <w:r w:rsidR="00894726">
        <w:rPr>
          <w:rFonts w:asciiTheme="minorHAnsi" w:eastAsia="Calibri" w:hAnsiTheme="minorHAnsi"/>
          <w:spacing w:val="0"/>
          <w:sz w:val="22"/>
          <w:szCs w:val="22"/>
        </w:rPr>
        <w:t xml:space="preserve">recebimentos e de </w:t>
      </w:r>
      <w:r w:rsidRPr="00BD77D9">
        <w:rPr>
          <w:rFonts w:asciiTheme="minorHAnsi" w:eastAsia="Calibri" w:hAnsiTheme="minorHAnsi"/>
          <w:spacing w:val="0"/>
          <w:sz w:val="22"/>
          <w:szCs w:val="22"/>
        </w:rPr>
        <w:t>pagamento</w:t>
      </w:r>
      <w:r w:rsidR="00894726">
        <w:rPr>
          <w:rFonts w:asciiTheme="minorHAnsi" w:eastAsia="Calibri" w:hAnsiTheme="minorHAnsi"/>
          <w:spacing w:val="0"/>
          <w:sz w:val="22"/>
          <w:szCs w:val="22"/>
        </w:rPr>
        <w:t>s</w:t>
      </w:r>
      <w:r w:rsidRPr="00BD77D9">
        <w:rPr>
          <w:rFonts w:asciiTheme="minorHAnsi" w:eastAsia="Calibri" w:hAnsiTheme="minorHAnsi"/>
          <w:spacing w:val="0"/>
          <w:sz w:val="22"/>
          <w:szCs w:val="22"/>
        </w:rPr>
        <w:t xml:space="preserve"> para o ano zero do estudo deverá ter por base a taxa</w:t>
      </w:r>
      <w:r w:rsidR="004E4505">
        <w:rPr>
          <w:rFonts w:asciiTheme="minorHAnsi" w:eastAsia="Calibri" w:hAnsiTheme="minorHAnsi"/>
          <w:spacing w:val="0"/>
          <w:sz w:val="22"/>
          <w:szCs w:val="22"/>
        </w:rPr>
        <w:t xml:space="preserve"> de desconto/atualização de 4 %</w:t>
      </w:r>
      <w:r w:rsidRPr="00BD77D9">
        <w:rPr>
          <w:rFonts w:asciiTheme="minorHAnsi" w:eastAsia="Calibri" w:hAnsiTheme="minorHAnsi"/>
          <w:spacing w:val="0"/>
          <w:sz w:val="22"/>
          <w:szCs w:val="22"/>
        </w:rPr>
        <w:t>, proposta como referência indicativa de acordo com o número 3 do artigo 19º do Regulamento Delegado (EU) nº 480/2014, considerando-se que desta forma está assegurada a neutralidade do ano base assumido.</w:t>
      </w:r>
    </w:p>
    <w:p w14:paraId="57925C9B" w14:textId="77777777" w:rsidR="00BD77D9" w:rsidRPr="000120EA" w:rsidRDefault="00BD77D9" w:rsidP="00BD77D9">
      <w:pPr>
        <w:numPr>
          <w:ilvl w:val="0"/>
          <w:numId w:val="17"/>
        </w:numPr>
        <w:spacing w:before="120" w:after="120" w:line="360" w:lineRule="auto"/>
        <w:ind w:left="1276" w:hanging="284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0120EA">
        <w:rPr>
          <w:rFonts w:asciiTheme="minorHAnsi" w:eastAsia="Calibri" w:hAnsiTheme="minorHAnsi"/>
          <w:spacing w:val="0"/>
          <w:sz w:val="22"/>
          <w:szCs w:val="22"/>
        </w:rPr>
        <w:t xml:space="preserve">As </w:t>
      </w:r>
      <w:r w:rsidRPr="000120EA">
        <w:rPr>
          <w:rFonts w:asciiTheme="minorHAnsi" w:hAnsiTheme="minorHAnsi"/>
          <w:sz w:val="22"/>
          <w:szCs w:val="22"/>
        </w:rPr>
        <w:t>revisões de preços devem ser excluídas da análise.</w:t>
      </w:r>
    </w:p>
    <w:p w14:paraId="24F79C3F" w14:textId="77777777" w:rsidR="00BD77D9" w:rsidRDefault="00BD77D9" w:rsidP="00305028">
      <w:pPr>
        <w:numPr>
          <w:ilvl w:val="0"/>
          <w:numId w:val="17"/>
        </w:numPr>
        <w:spacing w:before="120" w:after="120" w:line="360" w:lineRule="auto"/>
        <w:ind w:left="1276" w:hanging="284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0120EA">
        <w:rPr>
          <w:rFonts w:asciiTheme="minorHAnsi" w:eastAsia="Calibri" w:hAnsiTheme="minorHAnsi"/>
          <w:spacing w:val="0"/>
          <w:sz w:val="22"/>
          <w:szCs w:val="22"/>
        </w:rPr>
        <w:t>Os fluxos de caixa devem ser estabelecidos para cada ano em que são pagos ou recebidos</w:t>
      </w:r>
      <w:r>
        <w:rPr>
          <w:rFonts w:asciiTheme="minorHAnsi" w:eastAsia="Calibri" w:hAnsiTheme="minorHAnsi"/>
          <w:spacing w:val="0"/>
          <w:sz w:val="22"/>
          <w:szCs w:val="22"/>
        </w:rPr>
        <w:t>.</w:t>
      </w:r>
    </w:p>
    <w:p w14:paraId="4A31F2FB" w14:textId="1521521A" w:rsidR="00F34B24" w:rsidRPr="000120EA" w:rsidRDefault="00F34B24" w:rsidP="00305028">
      <w:pPr>
        <w:numPr>
          <w:ilvl w:val="0"/>
          <w:numId w:val="17"/>
        </w:numPr>
        <w:spacing w:before="120" w:after="120" w:line="360" w:lineRule="auto"/>
        <w:ind w:left="1276" w:hanging="284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0120EA">
        <w:rPr>
          <w:rFonts w:asciiTheme="minorHAnsi" w:eastAsia="Calibri" w:hAnsiTheme="minorHAnsi"/>
          <w:spacing w:val="0"/>
          <w:sz w:val="22"/>
          <w:szCs w:val="22"/>
        </w:rPr>
        <w:t xml:space="preserve">As categorias contabilísticas que não constituam fluxos de recebimento e pagamento, como as amortizações e as provisões </w:t>
      </w:r>
      <w:r w:rsidR="00894726">
        <w:rPr>
          <w:rFonts w:asciiTheme="minorHAnsi" w:eastAsia="Calibri" w:hAnsiTheme="minorHAnsi"/>
          <w:spacing w:val="0"/>
          <w:sz w:val="22"/>
          <w:szCs w:val="22"/>
        </w:rPr>
        <w:t xml:space="preserve">não </w:t>
      </w:r>
      <w:r w:rsidRPr="000120EA">
        <w:rPr>
          <w:rFonts w:asciiTheme="minorHAnsi" w:eastAsia="Calibri" w:hAnsiTheme="minorHAnsi"/>
          <w:spacing w:val="0"/>
          <w:sz w:val="22"/>
          <w:szCs w:val="22"/>
        </w:rPr>
        <w:t xml:space="preserve">devem ser </w:t>
      </w:r>
      <w:r w:rsidR="00894726">
        <w:rPr>
          <w:rFonts w:asciiTheme="minorHAnsi" w:eastAsia="Calibri" w:hAnsiTheme="minorHAnsi"/>
          <w:spacing w:val="0"/>
          <w:sz w:val="22"/>
          <w:szCs w:val="22"/>
        </w:rPr>
        <w:t>incluídas no</w:t>
      </w:r>
      <w:r w:rsidRPr="000120EA">
        <w:rPr>
          <w:rFonts w:asciiTheme="minorHAnsi" w:eastAsia="Calibri" w:hAnsiTheme="minorHAnsi"/>
          <w:spacing w:val="0"/>
          <w:sz w:val="22"/>
          <w:szCs w:val="22"/>
        </w:rPr>
        <w:t xml:space="preserve"> cálculo.</w:t>
      </w:r>
    </w:p>
    <w:p w14:paraId="794355B5" w14:textId="77777777" w:rsidR="00F34B24" w:rsidRPr="00BD77D9" w:rsidRDefault="00F34B24" w:rsidP="00BD77D9">
      <w:pPr>
        <w:numPr>
          <w:ilvl w:val="0"/>
          <w:numId w:val="17"/>
        </w:numPr>
        <w:spacing w:before="120" w:after="120" w:line="360" w:lineRule="auto"/>
        <w:ind w:left="1276" w:hanging="284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0120EA">
        <w:rPr>
          <w:rFonts w:asciiTheme="minorHAnsi" w:eastAsia="Calibri" w:hAnsiTheme="minorHAnsi"/>
          <w:spacing w:val="0"/>
          <w:sz w:val="22"/>
          <w:szCs w:val="22"/>
        </w:rPr>
        <w:t>Os encargos e proveitos financeiros, e outros que não resultem da exploração, também não devem ser incluídos no cálculo.</w:t>
      </w:r>
    </w:p>
    <w:p w14:paraId="273BE862" w14:textId="77777777" w:rsidR="009E4B0E" w:rsidRPr="000120EA" w:rsidRDefault="009E4B0E" w:rsidP="00305028">
      <w:pPr>
        <w:numPr>
          <w:ilvl w:val="0"/>
          <w:numId w:val="16"/>
        </w:numPr>
        <w:spacing w:before="120" w:after="120" w:line="360" w:lineRule="auto"/>
        <w:ind w:left="709" w:hanging="283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0120EA">
        <w:rPr>
          <w:rFonts w:asciiTheme="minorHAnsi" w:eastAsia="Calibri" w:hAnsiTheme="minorHAnsi"/>
          <w:spacing w:val="0"/>
          <w:sz w:val="22"/>
          <w:szCs w:val="22"/>
        </w:rPr>
        <w:t xml:space="preserve">As receitas e os custos de exploração a considerar devem ser identificados mediante a aplicação do </w:t>
      </w:r>
      <w:r w:rsidRPr="000120EA">
        <w:rPr>
          <w:rFonts w:asciiTheme="minorHAnsi" w:eastAsia="Calibri" w:hAnsiTheme="minorHAnsi"/>
          <w:b/>
          <w:spacing w:val="0"/>
          <w:sz w:val="22"/>
          <w:szCs w:val="22"/>
        </w:rPr>
        <w:t>método incremental,</w:t>
      </w:r>
      <w:r w:rsidRPr="000120EA">
        <w:rPr>
          <w:rFonts w:asciiTheme="minorHAnsi" w:eastAsia="Calibri" w:hAnsiTheme="minorHAnsi"/>
          <w:spacing w:val="0"/>
          <w:sz w:val="22"/>
          <w:szCs w:val="22"/>
        </w:rPr>
        <w:t xml:space="preserve"> com base na comparação entre a situação das receitas e dos custos com o novo investimento e a situação das receitas e dos custos sem o novo investimento. Sempre que uma operação respeite a um novo ativo, devem ser apenas consideradas as receitas e os custos decorrentes desse novo investimento. </w:t>
      </w:r>
    </w:p>
    <w:p w14:paraId="404EB32B" w14:textId="77777777" w:rsidR="009E4B0E" w:rsidRDefault="009E4B0E" w:rsidP="009E4B0E">
      <w:pPr>
        <w:spacing w:before="120" w:after="120" w:line="360" w:lineRule="auto"/>
        <w:ind w:left="709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</w:p>
    <w:p w14:paraId="263C61F9" w14:textId="77777777" w:rsidR="00024BDA" w:rsidRPr="009D51E4" w:rsidRDefault="00024BDA" w:rsidP="009D51E4">
      <w:pPr>
        <w:spacing w:line="360" w:lineRule="auto"/>
        <w:ind w:left="833" w:hanging="833"/>
        <w:rPr>
          <w:rFonts w:asciiTheme="minorHAnsi" w:eastAsia="Calibri" w:hAnsiTheme="minorHAnsi"/>
          <w:b/>
          <w:color w:val="4BACC6" w:themeColor="accent5"/>
          <w:sz w:val="22"/>
          <w:szCs w:val="22"/>
          <w:u w:val="single"/>
        </w:rPr>
      </w:pPr>
      <w:bookmarkStart w:id="63" w:name="_Toc430341675"/>
      <w:bookmarkStart w:id="64" w:name="_Toc464481580"/>
      <w:bookmarkStart w:id="65" w:name="_Toc464485174"/>
      <w:r w:rsidRPr="009D51E4">
        <w:rPr>
          <w:rFonts w:asciiTheme="minorHAnsi" w:eastAsia="Calibri" w:hAnsiTheme="minorHAnsi"/>
          <w:b/>
          <w:color w:val="4BACC6" w:themeColor="accent5"/>
          <w:sz w:val="22"/>
          <w:szCs w:val="22"/>
          <w:u w:val="single"/>
        </w:rPr>
        <w:t>Período de Referência</w:t>
      </w:r>
      <w:bookmarkEnd w:id="63"/>
      <w:bookmarkEnd w:id="64"/>
      <w:bookmarkEnd w:id="65"/>
    </w:p>
    <w:p w14:paraId="37D30275" w14:textId="6AB2046C" w:rsidR="001F7B12" w:rsidRPr="00F55BB0" w:rsidRDefault="00C42CF5" w:rsidP="001F7B12">
      <w:pPr>
        <w:numPr>
          <w:ilvl w:val="0"/>
          <w:numId w:val="16"/>
        </w:numPr>
        <w:spacing w:before="120" w:after="120" w:line="360" w:lineRule="auto"/>
        <w:ind w:left="709" w:hanging="284"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F55BB0">
        <w:rPr>
          <w:rFonts w:asciiTheme="minorHAnsi" w:eastAsia="Calibri" w:hAnsiTheme="minorHAnsi"/>
          <w:spacing w:val="0"/>
          <w:sz w:val="22"/>
          <w:szCs w:val="22"/>
        </w:rPr>
        <w:t>O período de referência deve incluir</w:t>
      </w:r>
      <w:r w:rsidR="001F7B12" w:rsidRPr="00F55BB0">
        <w:rPr>
          <w:rFonts w:asciiTheme="minorHAnsi" w:eastAsia="Calibri" w:hAnsiTheme="minorHAnsi"/>
          <w:spacing w:val="0"/>
          <w:sz w:val="22"/>
          <w:szCs w:val="22"/>
        </w:rPr>
        <w:t xml:space="preserve"> todo o período de investimento (contabilizado a partir do ano da decisão que torna o investimento irreversível) </w:t>
      </w:r>
      <w:r w:rsidRPr="00F55BB0">
        <w:rPr>
          <w:rFonts w:asciiTheme="minorHAnsi" w:eastAsia="Calibri" w:hAnsiTheme="minorHAnsi"/>
          <w:spacing w:val="0"/>
          <w:sz w:val="22"/>
          <w:szCs w:val="22"/>
        </w:rPr>
        <w:t>e de exploração.</w:t>
      </w:r>
      <w:r w:rsidR="0064700A" w:rsidRPr="00F55BB0">
        <w:rPr>
          <w:rFonts w:asciiTheme="minorHAnsi" w:eastAsia="Calibri" w:hAnsiTheme="minorHAnsi"/>
          <w:spacing w:val="0"/>
          <w:sz w:val="22"/>
          <w:szCs w:val="22"/>
        </w:rPr>
        <w:t xml:space="preserve"> </w:t>
      </w:r>
    </w:p>
    <w:p w14:paraId="14E119F0" w14:textId="77777777" w:rsidR="001F7B12" w:rsidRPr="00F55BB0" w:rsidRDefault="00024BDA" w:rsidP="00F13BFB">
      <w:pPr>
        <w:numPr>
          <w:ilvl w:val="0"/>
          <w:numId w:val="16"/>
        </w:numPr>
        <w:spacing w:before="120" w:after="120" w:line="360" w:lineRule="auto"/>
        <w:ind w:left="709" w:hanging="284"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F55BB0">
        <w:rPr>
          <w:rFonts w:asciiTheme="minorHAnsi" w:eastAsia="Calibri" w:hAnsiTheme="minorHAnsi"/>
          <w:spacing w:val="0"/>
          <w:sz w:val="22"/>
          <w:szCs w:val="22"/>
        </w:rPr>
        <w:t xml:space="preserve">Deverão ser considerados os períodos de referência identificados no nº. 2 </w:t>
      </w:r>
      <w:proofErr w:type="gramStart"/>
      <w:r w:rsidRPr="00F55BB0">
        <w:rPr>
          <w:rFonts w:asciiTheme="minorHAnsi" w:eastAsia="Calibri" w:hAnsiTheme="minorHAnsi"/>
          <w:spacing w:val="0"/>
          <w:sz w:val="22"/>
          <w:szCs w:val="22"/>
        </w:rPr>
        <w:t>do</w:t>
      </w:r>
      <w:proofErr w:type="gramEnd"/>
      <w:r w:rsidRPr="00F55BB0">
        <w:rPr>
          <w:rFonts w:asciiTheme="minorHAnsi" w:eastAsia="Calibri" w:hAnsiTheme="minorHAnsi"/>
          <w:spacing w:val="0"/>
          <w:sz w:val="22"/>
          <w:szCs w:val="22"/>
        </w:rPr>
        <w:t xml:space="preserve"> artigo 15º do Regulamento 480/2014, de 3 de março de 2014. </w:t>
      </w:r>
    </w:p>
    <w:p w14:paraId="630C08E3" w14:textId="4F95DB06" w:rsidR="00024BDA" w:rsidRPr="00F55BB0" w:rsidRDefault="001F7B12" w:rsidP="00F13BFB">
      <w:pPr>
        <w:numPr>
          <w:ilvl w:val="0"/>
          <w:numId w:val="16"/>
        </w:numPr>
        <w:spacing w:before="120" w:after="120" w:line="360" w:lineRule="auto"/>
        <w:ind w:left="709" w:hanging="284"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F55BB0">
        <w:rPr>
          <w:rFonts w:asciiTheme="minorHAnsi" w:eastAsia="Calibri" w:hAnsiTheme="minorHAnsi"/>
          <w:spacing w:val="0"/>
          <w:sz w:val="22"/>
          <w:szCs w:val="22"/>
        </w:rPr>
        <w:t xml:space="preserve">Em </w:t>
      </w:r>
      <w:r w:rsidRPr="00F55BB0">
        <w:rPr>
          <w:rFonts w:asciiTheme="minorHAnsi" w:eastAsia="Calibri" w:hAnsiTheme="minorHAnsi"/>
          <w:spacing w:val="0"/>
          <w:sz w:val="22"/>
          <w:szCs w:val="22"/>
          <w:u w:val="single"/>
        </w:rPr>
        <w:t>situações particul</w:t>
      </w:r>
      <w:r w:rsidR="00E616BE" w:rsidRPr="00F55BB0">
        <w:rPr>
          <w:rFonts w:asciiTheme="minorHAnsi" w:eastAsia="Calibri" w:hAnsiTheme="minorHAnsi"/>
          <w:spacing w:val="0"/>
          <w:sz w:val="22"/>
          <w:szCs w:val="22"/>
          <w:u w:val="single"/>
        </w:rPr>
        <w:t>ares e adequadamente justificada</w:t>
      </w:r>
      <w:r w:rsidRPr="00F55BB0">
        <w:rPr>
          <w:rFonts w:asciiTheme="minorHAnsi" w:eastAsia="Calibri" w:hAnsiTheme="minorHAnsi"/>
          <w:spacing w:val="0"/>
          <w:sz w:val="22"/>
          <w:szCs w:val="22"/>
          <w:u w:val="single"/>
        </w:rPr>
        <w:t>s</w:t>
      </w:r>
      <w:r w:rsidR="007E6BAA" w:rsidRPr="00F55BB0">
        <w:rPr>
          <w:rFonts w:asciiTheme="minorHAnsi" w:eastAsia="Calibri" w:hAnsiTheme="minorHAnsi"/>
          <w:spacing w:val="0"/>
          <w:sz w:val="22"/>
          <w:szCs w:val="22"/>
        </w:rPr>
        <w:t xml:space="preserve"> (e.g.,</w:t>
      </w:r>
      <w:r w:rsidRPr="00F55BB0">
        <w:rPr>
          <w:rFonts w:asciiTheme="minorHAnsi" w:eastAsia="Calibri" w:hAnsiTheme="minorHAnsi"/>
          <w:spacing w:val="0"/>
          <w:sz w:val="22"/>
          <w:szCs w:val="22"/>
        </w:rPr>
        <w:t xml:space="preserve"> casos de operações cujo período de investimento é muito prolongado</w:t>
      </w:r>
      <w:r w:rsidR="007E6BAA" w:rsidRPr="00F55BB0">
        <w:rPr>
          <w:rFonts w:asciiTheme="minorHAnsi" w:eastAsia="Calibri" w:hAnsiTheme="minorHAnsi"/>
          <w:spacing w:val="0"/>
          <w:sz w:val="22"/>
          <w:szCs w:val="22"/>
        </w:rPr>
        <w:t xml:space="preserve">, ou em que o momento da substituição do investimento em equipamento ocorra em momento próximo do último ano da análise) </w:t>
      </w:r>
      <w:r w:rsidRPr="00F55BB0">
        <w:rPr>
          <w:rFonts w:asciiTheme="minorHAnsi" w:eastAsia="Calibri" w:hAnsiTheme="minorHAnsi"/>
          <w:spacing w:val="0"/>
          <w:sz w:val="22"/>
          <w:szCs w:val="22"/>
        </w:rPr>
        <w:t>poderá ser aceite o alargamento excecional do período de referência</w:t>
      </w:r>
      <w:r w:rsidR="00190EE4" w:rsidRPr="00F55BB0">
        <w:rPr>
          <w:rFonts w:asciiTheme="minorHAnsi" w:eastAsia="Calibri" w:hAnsiTheme="minorHAnsi"/>
          <w:spacing w:val="0"/>
          <w:sz w:val="22"/>
          <w:szCs w:val="22"/>
        </w:rPr>
        <w:t xml:space="preserve"> </w:t>
      </w:r>
      <w:r w:rsidRPr="00F55BB0">
        <w:rPr>
          <w:rFonts w:asciiTheme="minorHAnsi" w:eastAsia="Calibri" w:hAnsiTheme="minorHAnsi"/>
          <w:spacing w:val="0"/>
          <w:sz w:val="22"/>
          <w:szCs w:val="22"/>
        </w:rPr>
        <w:t>de modo a assegurar um referencial de análise</w:t>
      </w:r>
      <w:r w:rsidR="007E6BAA" w:rsidRPr="00F55BB0">
        <w:rPr>
          <w:rFonts w:asciiTheme="minorHAnsi" w:eastAsia="Calibri" w:hAnsiTheme="minorHAnsi"/>
          <w:spacing w:val="0"/>
          <w:sz w:val="22"/>
          <w:szCs w:val="22"/>
        </w:rPr>
        <w:t xml:space="preserve"> suficientemente representativo</w:t>
      </w:r>
      <w:r w:rsidRPr="00F55BB0">
        <w:rPr>
          <w:rFonts w:asciiTheme="minorHAnsi" w:eastAsia="Calibri" w:hAnsiTheme="minorHAnsi"/>
          <w:spacing w:val="0"/>
          <w:sz w:val="22"/>
          <w:szCs w:val="22"/>
        </w:rPr>
        <w:t>.</w:t>
      </w:r>
    </w:p>
    <w:p w14:paraId="5FBDE1E0" w14:textId="5357714B" w:rsidR="004E4505" w:rsidRDefault="004E4505" w:rsidP="004E4505">
      <w:pPr>
        <w:numPr>
          <w:ilvl w:val="0"/>
          <w:numId w:val="16"/>
        </w:numPr>
        <w:spacing w:before="120" w:after="120" w:line="360" w:lineRule="auto"/>
        <w:ind w:left="709" w:hanging="283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0120EA">
        <w:rPr>
          <w:rFonts w:asciiTheme="minorHAnsi" w:eastAsia="Calibri" w:hAnsiTheme="minorHAnsi"/>
          <w:spacing w:val="0"/>
          <w:sz w:val="22"/>
          <w:szCs w:val="22"/>
        </w:rPr>
        <w:t xml:space="preserve">O período de referência não pode ser confundido com o período de vida útil da infraestrutura e dos respetivos equipamentos. Esta questão é </w:t>
      </w:r>
      <w:r>
        <w:rPr>
          <w:rFonts w:asciiTheme="minorHAnsi" w:eastAsia="Calibri" w:hAnsiTheme="minorHAnsi"/>
          <w:spacing w:val="0"/>
          <w:sz w:val="22"/>
          <w:szCs w:val="22"/>
        </w:rPr>
        <w:t xml:space="preserve">particularmente </w:t>
      </w:r>
      <w:r w:rsidRPr="000120EA">
        <w:rPr>
          <w:rFonts w:asciiTheme="minorHAnsi" w:eastAsia="Calibri" w:hAnsiTheme="minorHAnsi"/>
          <w:spacing w:val="0"/>
          <w:sz w:val="22"/>
          <w:szCs w:val="22"/>
        </w:rPr>
        <w:t xml:space="preserve">relevante para o apuramento dos </w:t>
      </w:r>
      <w:r w:rsidRPr="000120EA">
        <w:rPr>
          <w:rFonts w:asciiTheme="minorHAnsi" w:eastAsia="Calibri" w:hAnsiTheme="minorHAnsi"/>
          <w:spacing w:val="0"/>
          <w:sz w:val="22"/>
          <w:szCs w:val="22"/>
        </w:rPr>
        <w:lastRenderedPageBreak/>
        <w:t>investimentos de substituição</w:t>
      </w:r>
      <w:r w:rsidR="00894726">
        <w:rPr>
          <w:rFonts w:asciiTheme="minorHAnsi" w:eastAsia="Calibri" w:hAnsiTheme="minorHAnsi"/>
          <w:spacing w:val="0"/>
          <w:sz w:val="22"/>
          <w:szCs w:val="22"/>
        </w:rPr>
        <w:t xml:space="preserve"> que sejam necessários para manter as infraestruturas e equipamentos do projeto em normal funcionamento</w:t>
      </w:r>
      <w:r w:rsidRPr="000120EA">
        <w:rPr>
          <w:rFonts w:asciiTheme="minorHAnsi" w:eastAsia="Calibri" w:hAnsiTheme="minorHAnsi"/>
          <w:spacing w:val="0"/>
          <w:sz w:val="22"/>
          <w:szCs w:val="22"/>
        </w:rPr>
        <w:t xml:space="preserve"> (que devem ser considerados nos custos de exploração, nos anos em que se estime</w:t>
      </w:r>
      <w:r w:rsidR="00894726">
        <w:rPr>
          <w:rFonts w:asciiTheme="minorHAnsi" w:eastAsia="Calibri" w:hAnsiTheme="minorHAnsi"/>
          <w:spacing w:val="0"/>
          <w:sz w:val="22"/>
          <w:szCs w:val="22"/>
        </w:rPr>
        <w:t xml:space="preserve"> que</w:t>
      </w:r>
      <w:r w:rsidRPr="000120EA">
        <w:rPr>
          <w:rFonts w:asciiTheme="minorHAnsi" w:eastAsia="Calibri" w:hAnsiTheme="minorHAnsi"/>
          <w:spacing w:val="0"/>
          <w:sz w:val="22"/>
          <w:szCs w:val="22"/>
        </w:rPr>
        <w:t xml:space="preserve"> tenham que ser realizados) e para o apuramento do valor residual, no último ano do período de exploração.</w:t>
      </w:r>
    </w:p>
    <w:p w14:paraId="4E31F194" w14:textId="77777777" w:rsidR="00D7288F" w:rsidRDefault="00D7288F" w:rsidP="00D7288F">
      <w:pPr>
        <w:spacing w:before="120" w:after="120" w:line="360" w:lineRule="auto"/>
        <w:ind w:left="709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</w:p>
    <w:p w14:paraId="1CA70DE2" w14:textId="77777777" w:rsidR="00024BDA" w:rsidRPr="000120EA" w:rsidRDefault="00024BDA" w:rsidP="00024BDA">
      <w:pPr>
        <w:ind w:left="1134" w:right="1984"/>
        <w:contextualSpacing/>
        <w:jc w:val="both"/>
        <w:rPr>
          <w:rFonts w:asciiTheme="minorHAnsi" w:eastAsia="Calibri" w:hAnsiTheme="minorHAnsi"/>
          <w:b/>
          <w:spacing w:val="0"/>
          <w:sz w:val="22"/>
          <w:szCs w:val="22"/>
        </w:rPr>
      </w:pPr>
      <w:r w:rsidRPr="000120EA">
        <w:rPr>
          <w:rFonts w:asciiTheme="minorHAnsi" w:eastAsia="Calibri" w:hAnsiTheme="minorHAnsi"/>
          <w:b/>
          <w:spacing w:val="0"/>
          <w:sz w:val="22"/>
          <w:szCs w:val="22"/>
        </w:rPr>
        <w:t xml:space="preserve">Períodos de referência a considerar, no cumprimento do nº. 2 </w:t>
      </w:r>
      <w:proofErr w:type="gramStart"/>
      <w:r w:rsidRPr="000120EA">
        <w:rPr>
          <w:rFonts w:asciiTheme="minorHAnsi" w:eastAsia="Calibri" w:hAnsiTheme="minorHAnsi"/>
          <w:b/>
          <w:spacing w:val="0"/>
          <w:sz w:val="22"/>
          <w:szCs w:val="22"/>
        </w:rPr>
        <w:t>do</w:t>
      </w:r>
      <w:proofErr w:type="gramEnd"/>
      <w:r w:rsidRPr="000120EA">
        <w:rPr>
          <w:rFonts w:asciiTheme="minorHAnsi" w:eastAsia="Calibri" w:hAnsiTheme="minorHAnsi"/>
          <w:b/>
          <w:spacing w:val="0"/>
          <w:sz w:val="22"/>
          <w:szCs w:val="22"/>
        </w:rPr>
        <w:t xml:space="preserve"> artigo 15º do Regulamento 480/2014, de 3 de março de 2014</w:t>
      </w:r>
    </w:p>
    <w:tbl>
      <w:tblPr>
        <w:tblStyle w:val="Tabelacomgrelha"/>
        <w:tblW w:w="7230" w:type="dxa"/>
        <w:tblInd w:w="1129" w:type="dxa"/>
        <w:tblLook w:val="04A0" w:firstRow="1" w:lastRow="0" w:firstColumn="1" w:lastColumn="0" w:noHBand="0" w:noVBand="1"/>
      </w:tblPr>
      <w:tblGrid>
        <w:gridCol w:w="3969"/>
        <w:gridCol w:w="3261"/>
      </w:tblGrid>
      <w:tr w:rsidR="00024BDA" w:rsidRPr="000120EA" w14:paraId="52D4FEDA" w14:textId="77777777" w:rsidTr="00B8504A">
        <w:tc>
          <w:tcPr>
            <w:tcW w:w="3969" w:type="dxa"/>
            <w:shd w:val="clear" w:color="auto" w:fill="92CDDC" w:themeFill="accent5" w:themeFillTint="99"/>
          </w:tcPr>
          <w:p w14:paraId="4FCC55BE" w14:textId="77777777" w:rsidR="00024BDA" w:rsidRPr="000120EA" w:rsidRDefault="00024BDA" w:rsidP="00B8504A">
            <w:pPr>
              <w:ind w:left="0"/>
              <w:contextualSpacing/>
              <w:jc w:val="center"/>
              <w:rPr>
                <w:rFonts w:asciiTheme="minorHAnsi" w:eastAsia="Calibri" w:hAnsiTheme="minorHAnsi"/>
                <w:b/>
                <w:color w:val="FFFFFF" w:themeColor="background1"/>
                <w:spacing w:val="0"/>
                <w:sz w:val="18"/>
                <w:szCs w:val="18"/>
              </w:rPr>
            </w:pPr>
            <w:r w:rsidRPr="000120EA">
              <w:rPr>
                <w:rFonts w:asciiTheme="minorHAnsi" w:eastAsia="Calibri" w:hAnsiTheme="minorHAnsi"/>
                <w:b/>
                <w:color w:val="FFFFFF" w:themeColor="background1"/>
                <w:spacing w:val="0"/>
                <w:sz w:val="18"/>
                <w:szCs w:val="18"/>
              </w:rPr>
              <w:t>Setor</w:t>
            </w:r>
          </w:p>
        </w:tc>
        <w:tc>
          <w:tcPr>
            <w:tcW w:w="3261" w:type="dxa"/>
            <w:shd w:val="clear" w:color="auto" w:fill="92CDDC" w:themeFill="accent5" w:themeFillTint="99"/>
          </w:tcPr>
          <w:p w14:paraId="6D022E2A" w14:textId="77777777" w:rsidR="00024BDA" w:rsidRPr="000120EA" w:rsidRDefault="00024BDA" w:rsidP="00B8504A">
            <w:pPr>
              <w:ind w:left="0"/>
              <w:contextualSpacing/>
              <w:jc w:val="center"/>
              <w:rPr>
                <w:rFonts w:asciiTheme="minorHAnsi" w:eastAsia="Calibri" w:hAnsiTheme="minorHAnsi"/>
                <w:b/>
                <w:color w:val="FFFFFF" w:themeColor="background1"/>
                <w:spacing w:val="0"/>
                <w:sz w:val="18"/>
                <w:szCs w:val="18"/>
              </w:rPr>
            </w:pPr>
            <w:r w:rsidRPr="000120EA">
              <w:rPr>
                <w:rFonts w:asciiTheme="minorHAnsi" w:eastAsia="Calibri" w:hAnsiTheme="minorHAnsi"/>
                <w:b/>
                <w:color w:val="FFFFFF" w:themeColor="background1"/>
                <w:spacing w:val="0"/>
                <w:sz w:val="18"/>
                <w:szCs w:val="18"/>
              </w:rPr>
              <w:t>Período de referência</w:t>
            </w:r>
          </w:p>
          <w:p w14:paraId="07B200CA" w14:textId="77777777" w:rsidR="00024BDA" w:rsidRPr="000120EA" w:rsidRDefault="00024BDA" w:rsidP="00B8504A">
            <w:pPr>
              <w:ind w:left="0"/>
              <w:contextualSpacing/>
              <w:jc w:val="center"/>
              <w:rPr>
                <w:rFonts w:asciiTheme="minorHAnsi" w:eastAsia="Calibri" w:hAnsiTheme="minorHAnsi"/>
                <w:b/>
                <w:color w:val="FFFFFF" w:themeColor="background1"/>
                <w:spacing w:val="0"/>
                <w:sz w:val="18"/>
                <w:szCs w:val="18"/>
              </w:rPr>
            </w:pPr>
            <w:r w:rsidRPr="000120EA">
              <w:rPr>
                <w:rFonts w:asciiTheme="minorHAnsi" w:eastAsia="Calibri" w:hAnsiTheme="minorHAnsi"/>
                <w:b/>
                <w:color w:val="FFFFFF" w:themeColor="background1"/>
                <w:spacing w:val="0"/>
                <w:sz w:val="18"/>
                <w:szCs w:val="18"/>
              </w:rPr>
              <w:t>(anos)</w:t>
            </w:r>
          </w:p>
        </w:tc>
      </w:tr>
      <w:tr w:rsidR="00024BDA" w:rsidRPr="000120EA" w14:paraId="4BEF081E" w14:textId="77777777" w:rsidTr="00B8504A">
        <w:tc>
          <w:tcPr>
            <w:tcW w:w="3969" w:type="dxa"/>
            <w:tcBorders>
              <w:bottom w:val="dotted" w:sz="4" w:space="0" w:color="auto"/>
            </w:tcBorders>
          </w:tcPr>
          <w:p w14:paraId="5041D73F" w14:textId="77777777" w:rsidR="00024BDA" w:rsidRPr="000120EA" w:rsidRDefault="00024BDA" w:rsidP="00B8504A">
            <w:pPr>
              <w:ind w:left="0"/>
              <w:contextualSpacing/>
              <w:rPr>
                <w:rFonts w:asciiTheme="minorHAnsi" w:eastAsia="Calibri" w:hAnsiTheme="minorHAnsi"/>
                <w:spacing w:val="0"/>
                <w:sz w:val="18"/>
                <w:szCs w:val="18"/>
              </w:rPr>
            </w:pPr>
            <w:r w:rsidRPr="000120EA">
              <w:rPr>
                <w:rFonts w:asciiTheme="minorHAnsi" w:eastAsia="Calibri" w:hAnsiTheme="minorHAnsi"/>
                <w:spacing w:val="0"/>
                <w:sz w:val="18"/>
                <w:szCs w:val="18"/>
              </w:rPr>
              <w:t>Transporte ferroviário</w:t>
            </w:r>
          </w:p>
        </w:tc>
        <w:tc>
          <w:tcPr>
            <w:tcW w:w="3261" w:type="dxa"/>
            <w:tcBorders>
              <w:bottom w:val="dotted" w:sz="4" w:space="0" w:color="auto"/>
            </w:tcBorders>
          </w:tcPr>
          <w:p w14:paraId="08EB74DD" w14:textId="77777777" w:rsidR="00024BDA" w:rsidRPr="000120EA" w:rsidRDefault="00024BDA" w:rsidP="00B8504A">
            <w:pPr>
              <w:ind w:left="0"/>
              <w:contextualSpacing/>
              <w:jc w:val="center"/>
              <w:rPr>
                <w:rFonts w:asciiTheme="minorHAnsi" w:eastAsia="Calibri" w:hAnsiTheme="minorHAnsi"/>
                <w:spacing w:val="0"/>
                <w:sz w:val="18"/>
                <w:szCs w:val="18"/>
              </w:rPr>
            </w:pPr>
            <w:r w:rsidRPr="000120EA">
              <w:rPr>
                <w:rFonts w:asciiTheme="minorHAnsi" w:eastAsia="Calibri" w:hAnsiTheme="minorHAnsi"/>
                <w:spacing w:val="0"/>
                <w:sz w:val="18"/>
                <w:szCs w:val="18"/>
              </w:rPr>
              <w:t>30</w:t>
            </w:r>
          </w:p>
        </w:tc>
      </w:tr>
      <w:tr w:rsidR="00024BDA" w:rsidRPr="000120EA" w14:paraId="5D9A2216" w14:textId="77777777" w:rsidTr="00B8504A"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</w:tcPr>
          <w:p w14:paraId="2C174BD4" w14:textId="77777777" w:rsidR="00024BDA" w:rsidRPr="000120EA" w:rsidRDefault="00024BDA" w:rsidP="00B8504A">
            <w:pPr>
              <w:ind w:left="0"/>
              <w:contextualSpacing/>
              <w:rPr>
                <w:rFonts w:asciiTheme="minorHAnsi" w:eastAsia="Calibri" w:hAnsiTheme="minorHAnsi"/>
                <w:spacing w:val="0"/>
                <w:sz w:val="18"/>
                <w:szCs w:val="18"/>
              </w:rPr>
            </w:pPr>
            <w:r w:rsidRPr="000120EA">
              <w:rPr>
                <w:rFonts w:asciiTheme="minorHAnsi" w:eastAsia="Calibri" w:hAnsiTheme="minorHAnsi"/>
                <w:spacing w:val="0"/>
                <w:sz w:val="18"/>
                <w:szCs w:val="18"/>
              </w:rPr>
              <w:t>Abastecimento de água/saneamento</w:t>
            </w:r>
          </w:p>
        </w:tc>
        <w:tc>
          <w:tcPr>
            <w:tcW w:w="3261" w:type="dxa"/>
            <w:tcBorders>
              <w:top w:val="dotted" w:sz="4" w:space="0" w:color="auto"/>
              <w:bottom w:val="dotted" w:sz="4" w:space="0" w:color="auto"/>
            </w:tcBorders>
          </w:tcPr>
          <w:p w14:paraId="14C4D132" w14:textId="77777777" w:rsidR="00024BDA" w:rsidRPr="000120EA" w:rsidRDefault="00024BDA" w:rsidP="00B8504A">
            <w:pPr>
              <w:ind w:left="0"/>
              <w:contextualSpacing/>
              <w:jc w:val="center"/>
              <w:rPr>
                <w:rFonts w:asciiTheme="minorHAnsi" w:eastAsia="Calibri" w:hAnsiTheme="minorHAnsi"/>
                <w:spacing w:val="0"/>
                <w:sz w:val="18"/>
                <w:szCs w:val="18"/>
              </w:rPr>
            </w:pPr>
            <w:r w:rsidRPr="000120EA">
              <w:rPr>
                <w:rFonts w:asciiTheme="minorHAnsi" w:eastAsia="Calibri" w:hAnsiTheme="minorHAnsi"/>
                <w:spacing w:val="0"/>
                <w:sz w:val="18"/>
                <w:szCs w:val="18"/>
              </w:rPr>
              <w:t>30</w:t>
            </w:r>
          </w:p>
        </w:tc>
      </w:tr>
      <w:tr w:rsidR="00024BDA" w:rsidRPr="000120EA" w14:paraId="1B025E35" w14:textId="77777777" w:rsidTr="00B8504A"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</w:tcPr>
          <w:p w14:paraId="7D1A854C" w14:textId="77777777" w:rsidR="00024BDA" w:rsidRPr="000120EA" w:rsidRDefault="00024BDA" w:rsidP="00B8504A">
            <w:pPr>
              <w:ind w:left="0"/>
              <w:contextualSpacing/>
              <w:rPr>
                <w:rFonts w:asciiTheme="minorHAnsi" w:eastAsia="Calibri" w:hAnsiTheme="minorHAnsi"/>
                <w:spacing w:val="0"/>
                <w:sz w:val="18"/>
                <w:szCs w:val="18"/>
              </w:rPr>
            </w:pPr>
            <w:r w:rsidRPr="000120EA">
              <w:rPr>
                <w:rFonts w:asciiTheme="minorHAnsi" w:eastAsia="Calibri" w:hAnsiTheme="minorHAnsi"/>
                <w:spacing w:val="0"/>
                <w:sz w:val="18"/>
                <w:szCs w:val="18"/>
              </w:rPr>
              <w:t>Transporte rodoviário</w:t>
            </w:r>
          </w:p>
        </w:tc>
        <w:tc>
          <w:tcPr>
            <w:tcW w:w="3261" w:type="dxa"/>
            <w:tcBorders>
              <w:top w:val="dotted" w:sz="4" w:space="0" w:color="auto"/>
              <w:bottom w:val="dotted" w:sz="4" w:space="0" w:color="auto"/>
            </w:tcBorders>
          </w:tcPr>
          <w:p w14:paraId="7D78B69B" w14:textId="77777777" w:rsidR="00024BDA" w:rsidRPr="000120EA" w:rsidRDefault="00024BDA" w:rsidP="00B8504A">
            <w:pPr>
              <w:ind w:left="0"/>
              <w:contextualSpacing/>
              <w:jc w:val="center"/>
              <w:rPr>
                <w:rFonts w:asciiTheme="minorHAnsi" w:eastAsia="Calibri" w:hAnsiTheme="minorHAnsi"/>
                <w:spacing w:val="0"/>
                <w:sz w:val="18"/>
                <w:szCs w:val="18"/>
              </w:rPr>
            </w:pPr>
            <w:r w:rsidRPr="000120EA">
              <w:rPr>
                <w:rFonts w:asciiTheme="minorHAnsi" w:eastAsia="Calibri" w:hAnsiTheme="minorHAnsi"/>
                <w:spacing w:val="0"/>
                <w:sz w:val="18"/>
                <w:szCs w:val="18"/>
              </w:rPr>
              <w:t>25-30</w:t>
            </w:r>
          </w:p>
        </w:tc>
      </w:tr>
      <w:tr w:rsidR="00024BDA" w:rsidRPr="000120EA" w14:paraId="33468776" w14:textId="77777777" w:rsidTr="00B8504A"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</w:tcPr>
          <w:p w14:paraId="44E4E182" w14:textId="77777777" w:rsidR="00024BDA" w:rsidRPr="000120EA" w:rsidRDefault="00024BDA" w:rsidP="00B8504A">
            <w:pPr>
              <w:ind w:left="0"/>
              <w:contextualSpacing/>
              <w:rPr>
                <w:rFonts w:asciiTheme="minorHAnsi" w:eastAsia="Calibri" w:hAnsiTheme="minorHAnsi"/>
                <w:spacing w:val="0"/>
                <w:sz w:val="18"/>
                <w:szCs w:val="18"/>
              </w:rPr>
            </w:pPr>
            <w:r w:rsidRPr="000120EA">
              <w:rPr>
                <w:rFonts w:asciiTheme="minorHAnsi" w:eastAsia="Calibri" w:hAnsiTheme="minorHAnsi"/>
                <w:spacing w:val="0"/>
                <w:sz w:val="18"/>
                <w:szCs w:val="18"/>
              </w:rPr>
              <w:t>Gestão de resíduos</w:t>
            </w:r>
          </w:p>
        </w:tc>
        <w:tc>
          <w:tcPr>
            <w:tcW w:w="3261" w:type="dxa"/>
            <w:tcBorders>
              <w:top w:val="dotted" w:sz="4" w:space="0" w:color="auto"/>
              <w:bottom w:val="dotted" w:sz="4" w:space="0" w:color="auto"/>
            </w:tcBorders>
          </w:tcPr>
          <w:p w14:paraId="1BAC124B" w14:textId="77777777" w:rsidR="00024BDA" w:rsidRPr="000120EA" w:rsidRDefault="00024BDA" w:rsidP="00B8504A">
            <w:pPr>
              <w:ind w:left="0"/>
              <w:contextualSpacing/>
              <w:jc w:val="center"/>
              <w:rPr>
                <w:rFonts w:asciiTheme="minorHAnsi" w:eastAsia="Calibri" w:hAnsiTheme="minorHAnsi"/>
                <w:spacing w:val="0"/>
                <w:sz w:val="18"/>
                <w:szCs w:val="18"/>
              </w:rPr>
            </w:pPr>
            <w:r w:rsidRPr="000120EA">
              <w:rPr>
                <w:rFonts w:asciiTheme="minorHAnsi" w:eastAsia="Calibri" w:hAnsiTheme="minorHAnsi"/>
                <w:spacing w:val="0"/>
                <w:sz w:val="18"/>
                <w:szCs w:val="18"/>
              </w:rPr>
              <w:t>25-30</w:t>
            </w:r>
          </w:p>
        </w:tc>
      </w:tr>
      <w:tr w:rsidR="00024BDA" w:rsidRPr="000120EA" w14:paraId="69966BAE" w14:textId="77777777" w:rsidTr="00B8504A"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</w:tcPr>
          <w:p w14:paraId="33C786E5" w14:textId="77777777" w:rsidR="00024BDA" w:rsidRPr="000120EA" w:rsidRDefault="00024BDA" w:rsidP="00B8504A">
            <w:pPr>
              <w:ind w:left="0"/>
              <w:contextualSpacing/>
              <w:rPr>
                <w:rFonts w:asciiTheme="minorHAnsi" w:eastAsia="Calibri" w:hAnsiTheme="minorHAnsi"/>
                <w:spacing w:val="0"/>
                <w:sz w:val="18"/>
                <w:szCs w:val="18"/>
              </w:rPr>
            </w:pPr>
            <w:r w:rsidRPr="000120EA">
              <w:rPr>
                <w:rFonts w:asciiTheme="minorHAnsi" w:eastAsia="Calibri" w:hAnsiTheme="minorHAnsi"/>
                <w:spacing w:val="0"/>
                <w:sz w:val="18"/>
                <w:szCs w:val="18"/>
              </w:rPr>
              <w:t>Portos e aeroportos</w:t>
            </w:r>
          </w:p>
        </w:tc>
        <w:tc>
          <w:tcPr>
            <w:tcW w:w="3261" w:type="dxa"/>
            <w:tcBorders>
              <w:top w:val="dotted" w:sz="4" w:space="0" w:color="auto"/>
              <w:bottom w:val="dotted" w:sz="4" w:space="0" w:color="auto"/>
            </w:tcBorders>
          </w:tcPr>
          <w:p w14:paraId="088ECE8B" w14:textId="77777777" w:rsidR="00024BDA" w:rsidRPr="000120EA" w:rsidRDefault="00024BDA" w:rsidP="00B8504A">
            <w:pPr>
              <w:ind w:left="0"/>
              <w:contextualSpacing/>
              <w:jc w:val="center"/>
              <w:rPr>
                <w:rFonts w:asciiTheme="minorHAnsi" w:eastAsia="Calibri" w:hAnsiTheme="minorHAnsi"/>
                <w:spacing w:val="0"/>
                <w:sz w:val="18"/>
                <w:szCs w:val="18"/>
              </w:rPr>
            </w:pPr>
            <w:r w:rsidRPr="000120EA">
              <w:rPr>
                <w:rFonts w:asciiTheme="minorHAnsi" w:eastAsia="Calibri" w:hAnsiTheme="minorHAnsi"/>
                <w:spacing w:val="0"/>
                <w:sz w:val="18"/>
                <w:szCs w:val="18"/>
              </w:rPr>
              <w:t>25</w:t>
            </w:r>
          </w:p>
        </w:tc>
      </w:tr>
      <w:tr w:rsidR="00024BDA" w:rsidRPr="000120EA" w14:paraId="5B4FEE91" w14:textId="77777777" w:rsidTr="00B8504A"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</w:tcPr>
          <w:p w14:paraId="4AADF376" w14:textId="77777777" w:rsidR="00024BDA" w:rsidRPr="000120EA" w:rsidRDefault="00024BDA" w:rsidP="00B8504A">
            <w:pPr>
              <w:ind w:left="0"/>
              <w:contextualSpacing/>
              <w:rPr>
                <w:rFonts w:asciiTheme="minorHAnsi" w:eastAsia="Calibri" w:hAnsiTheme="minorHAnsi"/>
                <w:spacing w:val="0"/>
                <w:sz w:val="18"/>
                <w:szCs w:val="18"/>
              </w:rPr>
            </w:pPr>
            <w:r w:rsidRPr="000120EA">
              <w:rPr>
                <w:rFonts w:asciiTheme="minorHAnsi" w:eastAsia="Calibri" w:hAnsiTheme="minorHAnsi"/>
                <w:spacing w:val="0"/>
                <w:sz w:val="18"/>
                <w:szCs w:val="18"/>
              </w:rPr>
              <w:t>Transporte Urbano</w:t>
            </w:r>
          </w:p>
        </w:tc>
        <w:tc>
          <w:tcPr>
            <w:tcW w:w="3261" w:type="dxa"/>
            <w:tcBorders>
              <w:top w:val="dotted" w:sz="4" w:space="0" w:color="auto"/>
              <w:bottom w:val="dotted" w:sz="4" w:space="0" w:color="auto"/>
            </w:tcBorders>
          </w:tcPr>
          <w:p w14:paraId="0E61DC5F" w14:textId="77777777" w:rsidR="00024BDA" w:rsidRPr="000120EA" w:rsidRDefault="00024BDA" w:rsidP="00B8504A">
            <w:pPr>
              <w:ind w:left="0"/>
              <w:contextualSpacing/>
              <w:jc w:val="center"/>
              <w:rPr>
                <w:rFonts w:asciiTheme="minorHAnsi" w:eastAsia="Calibri" w:hAnsiTheme="minorHAnsi"/>
                <w:spacing w:val="0"/>
                <w:sz w:val="18"/>
                <w:szCs w:val="18"/>
              </w:rPr>
            </w:pPr>
            <w:r w:rsidRPr="000120EA">
              <w:rPr>
                <w:rFonts w:asciiTheme="minorHAnsi" w:eastAsia="Calibri" w:hAnsiTheme="minorHAnsi"/>
                <w:spacing w:val="0"/>
                <w:sz w:val="18"/>
                <w:szCs w:val="18"/>
              </w:rPr>
              <w:t>25-30</w:t>
            </w:r>
          </w:p>
        </w:tc>
      </w:tr>
      <w:tr w:rsidR="00024BDA" w:rsidRPr="000120EA" w14:paraId="620EE1D3" w14:textId="77777777" w:rsidTr="00B8504A"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</w:tcPr>
          <w:p w14:paraId="24802A83" w14:textId="77777777" w:rsidR="00024BDA" w:rsidRPr="000120EA" w:rsidRDefault="00024BDA" w:rsidP="00B8504A">
            <w:pPr>
              <w:ind w:left="0"/>
              <w:contextualSpacing/>
              <w:rPr>
                <w:rFonts w:asciiTheme="minorHAnsi" w:eastAsia="Calibri" w:hAnsiTheme="minorHAnsi"/>
                <w:spacing w:val="0"/>
                <w:sz w:val="18"/>
                <w:szCs w:val="18"/>
              </w:rPr>
            </w:pPr>
            <w:r w:rsidRPr="000120EA">
              <w:rPr>
                <w:rFonts w:asciiTheme="minorHAnsi" w:eastAsia="Calibri" w:hAnsiTheme="minorHAnsi"/>
                <w:spacing w:val="0"/>
                <w:sz w:val="18"/>
                <w:szCs w:val="18"/>
              </w:rPr>
              <w:t>Energia</w:t>
            </w:r>
          </w:p>
        </w:tc>
        <w:tc>
          <w:tcPr>
            <w:tcW w:w="3261" w:type="dxa"/>
            <w:tcBorders>
              <w:top w:val="dotted" w:sz="4" w:space="0" w:color="auto"/>
              <w:bottom w:val="dotted" w:sz="4" w:space="0" w:color="auto"/>
            </w:tcBorders>
          </w:tcPr>
          <w:p w14:paraId="63EBA467" w14:textId="77777777" w:rsidR="00024BDA" w:rsidRPr="000120EA" w:rsidRDefault="00024BDA" w:rsidP="00B8504A">
            <w:pPr>
              <w:ind w:left="0"/>
              <w:contextualSpacing/>
              <w:jc w:val="center"/>
              <w:rPr>
                <w:rFonts w:asciiTheme="minorHAnsi" w:eastAsia="Calibri" w:hAnsiTheme="minorHAnsi"/>
                <w:spacing w:val="0"/>
                <w:sz w:val="18"/>
                <w:szCs w:val="18"/>
              </w:rPr>
            </w:pPr>
            <w:r w:rsidRPr="000120EA">
              <w:rPr>
                <w:rFonts w:asciiTheme="minorHAnsi" w:eastAsia="Calibri" w:hAnsiTheme="minorHAnsi"/>
                <w:spacing w:val="0"/>
                <w:sz w:val="18"/>
                <w:szCs w:val="18"/>
              </w:rPr>
              <w:t>15-25</w:t>
            </w:r>
          </w:p>
        </w:tc>
      </w:tr>
      <w:tr w:rsidR="00024BDA" w:rsidRPr="000120EA" w14:paraId="1BE83A69" w14:textId="77777777" w:rsidTr="00B8504A"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</w:tcPr>
          <w:p w14:paraId="6FFA56C2" w14:textId="77777777" w:rsidR="00024BDA" w:rsidRPr="000120EA" w:rsidRDefault="00024BDA" w:rsidP="00B8504A">
            <w:pPr>
              <w:ind w:left="0"/>
              <w:contextualSpacing/>
              <w:rPr>
                <w:rFonts w:asciiTheme="minorHAnsi" w:eastAsia="Calibri" w:hAnsiTheme="minorHAnsi"/>
                <w:spacing w:val="0"/>
                <w:sz w:val="18"/>
                <w:szCs w:val="18"/>
              </w:rPr>
            </w:pPr>
            <w:r w:rsidRPr="000120EA">
              <w:rPr>
                <w:rFonts w:asciiTheme="minorHAnsi" w:eastAsia="Calibri" w:hAnsiTheme="minorHAnsi"/>
                <w:spacing w:val="0"/>
                <w:sz w:val="18"/>
                <w:szCs w:val="18"/>
              </w:rPr>
              <w:t>Investigação e inovação</w:t>
            </w:r>
          </w:p>
        </w:tc>
        <w:tc>
          <w:tcPr>
            <w:tcW w:w="3261" w:type="dxa"/>
            <w:tcBorders>
              <w:top w:val="dotted" w:sz="4" w:space="0" w:color="auto"/>
              <w:bottom w:val="dotted" w:sz="4" w:space="0" w:color="auto"/>
            </w:tcBorders>
          </w:tcPr>
          <w:p w14:paraId="71DF3B06" w14:textId="77777777" w:rsidR="00024BDA" w:rsidRPr="000120EA" w:rsidRDefault="00024BDA" w:rsidP="00B8504A">
            <w:pPr>
              <w:ind w:left="0"/>
              <w:contextualSpacing/>
              <w:jc w:val="center"/>
              <w:rPr>
                <w:rFonts w:asciiTheme="minorHAnsi" w:eastAsia="Calibri" w:hAnsiTheme="minorHAnsi"/>
                <w:spacing w:val="0"/>
                <w:sz w:val="18"/>
                <w:szCs w:val="18"/>
              </w:rPr>
            </w:pPr>
            <w:r w:rsidRPr="000120EA">
              <w:rPr>
                <w:rFonts w:asciiTheme="minorHAnsi" w:eastAsia="Calibri" w:hAnsiTheme="minorHAnsi"/>
                <w:spacing w:val="0"/>
                <w:sz w:val="18"/>
                <w:szCs w:val="18"/>
              </w:rPr>
              <w:t>15-25</w:t>
            </w:r>
          </w:p>
        </w:tc>
      </w:tr>
      <w:tr w:rsidR="00024BDA" w:rsidRPr="000120EA" w14:paraId="27271769" w14:textId="77777777" w:rsidTr="00B8504A"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</w:tcPr>
          <w:p w14:paraId="371590E8" w14:textId="77777777" w:rsidR="00024BDA" w:rsidRPr="000120EA" w:rsidRDefault="00024BDA" w:rsidP="00B8504A">
            <w:pPr>
              <w:ind w:left="0"/>
              <w:contextualSpacing/>
              <w:rPr>
                <w:rFonts w:asciiTheme="minorHAnsi" w:eastAsia="Calibri" w:hAnsiTheme="minorHAnsi"/>
                <w:spacing w:val="0"/>
                <w:sz w:val="18"/>
                <w:szCs w:val="18"/>
              </w:rPr>
            </w:pPr>
            <w:r w:rsidRPr="000120EA">
              <w:rPr>
                <w:rFonts w:asciiTheme="minorHAnsi" w:eastAsia="Calibri" w:hAnsiTheme="minorHAnsi"/>
                <w:spacing w:val="0"/>
                <w:sz w:val="18"/>
                <w:szCs w:val="18"/>
              </w:rPr>
              <w:t>Banda larga</w:t>
            </w:r>
          </w:p>
        </w:tc>
        <w:tc>
          <w:tcPr>
            <w:tcW w:w="3261" w:type="dxa"/>
            <w:tcBorders>
              <w:top w:val="dotted" w:sz="4" w:space="0" w:color="auto"/>
              <w:bottom w:val="dotted" w:sz="4" w:space="0" w:color="auto"/>
            </w:tcBorders>
          </w:tcPr>
          <w:p w14:paraId="5164E80D" w14:textId="77777777" w:rsidR="00024BDA" w:rsidRPr="000120EA" w:rsidRDefault="00024BDA" w:rsidP="00B8504A">
            <w:pPr>
              <w:ind w:left="0"/>
              <w:contextualSpacing/>
              <w:jc w:val="center"/>
              <w:rPr>
                <w:rFonts w:asciiTheme="minorHAnsi" w:eastAsia="Calibri" w:hAnsiTheme="minorHAnsi"/>
                <w:spacing w:val="0"/>
                <w:sz w:val="18"/>
                <w:szCs w:val="18"/>
              </w:rPr>
            </w:pPr>
            <w:r w:rsidRPr="000120EA">
              <w:rPr>
                <w:rFonts w:asciiTheme="minorHAnsi" w:eastAsia="Calibri" w:hAnsiTheme="minorHAnsi"/>
                <w:spacing w:val="0"/>
                <w:sz w:val="18"/>
                <w:szCs w:val="18"/>
              </w:rPr>
              <w:t>15-20</w:t>
            </w:r>
          </w:p>
        </w:tc>
      </w:tr>
      <w:tr w:rsidR="00024BDA" w:rsidRPr="000120EA" w14:paraId="52050A1E" w14:textId="77777777" w:rsidTr="00B8504A"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</w:tcPr>
          <w:p w14:paraId="21B9E512" w14:textId="77777777" w:rsidR="00024BDA" w:rsidRPr="000120EA" w:rsidRDefault="00024BDA" w:rsidP="00B8504A">
            <w:pPr>
              <w:ind w:left="0"/>
              <w:contextualSpacing/>
              <w:rPr>
                <w:rFonts w:asciiTheme="minorHAnsi" w:eastAsia="Calibri" w:hAnsiTheme="minorHAnsi"/>
                <w:spacing w:val="0"/>
                <w:sz w:val="18"/>
                <w:szCs w:val="18"/>
              </w:rPr>
            </w:pPr>
            <w:r w:rsidRPr="000120EA">
              <w:rPr>
                <w:rFonts w:asciiTheme="minorHAnsi" w:eastAsia="Calibri" w:hAnsiTheme="minorHAnsi"/>
                <w:spacing w:val="0"/>
                <w:sz w:val="18"/>
                <w:szCs w:val="18"/>
              </w:rPr>
              <w:t>Infraestrutura empresarial</w:t>
            </w:r>
          </w:p>
        </w:tc>
        <w:tc>
          <w:tcPr>
            <w:tcW w:w="3261" w:type="dxa"/>
            <w:tcBorders>
              <w:top w:val="dotted" w:sz="4" w:space="0" w:color="auto"/>
              <w:bottom w:val="dotted" w:sz="4" w:space="0" w:color="auto"/>
            </w:tcBorders>
          </w:tcPr>
          <w:p w14:paraId="7395B9C7" w14:textId="77777777" w:rsidR="00024BDA" w:rsidRPr="000120EA" w:rsidRDefault="00024BDA" w:rsidP="00B8504A">
            <w:pPr>
              <w:ind w:left="0"/>
              <w:contextualSpacing/>
              <w:jc w:val="center"/>
              <w:rPr>
                <w:rFonts w:asciiTheme="minorHAnsi" w:eastAsia="Calibri" w:hAnsiTheme="minorHAnsi"/>
                <w:spacing w:val="0"/>
                <w:sz w:val="18"/>
                <w:szCs w:val="18"/>
              </w:rPr>
            </w:pPr>
            <w:r w:rsidRPr="000120EA">
              <w:rPr>
                <w:rFonts w:asciiTheme="minorHAnsi" w:eastAsia="Calibri" w:hAnsiTheme="minorHAnsi"/>
                <w:spacing w:val="0"/>
                <w:sz w:val="18"/>
                <w:szCs w:val="18"/>
              </w:rPr>
              <w:t>10-15</w:t>
            </w:r>
          </w:p>
        </w:tc>
      </w:tr>
      <w:tr w:rsidR="00024BDA" w:rsidRPr="000120EA" w14:paraId="4FCA63F5" w14:textId="77777777" w:rsidTr="00B8504A">
        <w:tc>
          <w:tcPr>
            <w:tcW w:w="3969" w:type="dxa"/>
            <w:tcBorders>
              <w:top w:val="dotted" w:sz="4" w:space="0" w:color="auto"/>
            </w:tcBorders>
          </w:tcPr>
          <w:p w14:paraId="2662006F" w14:textId="77777777" w:rsidR="00024BDA" w:rsidRPr="000120EA" w:rsidRDefault="00024BDA" w:rsidP="00B8504A">
            <w:pPr>
              <w:ind w:left="0"/>
              <w:contextualSpacing/>
              <w:rPr>
                <w:rFonts w:asciiTheme="minorHAnsi" w:eastAsia="Calibri" w:hAnsiTheme="minorHAnsi"/>
                <w:spacing w:val="0"/>
                <w:sz w:val="18"/>
                <w:szCs w:val="18"/>
              </w:rPr>
            </w:pPr>
            <w:r w:rsidRPr="000120EA">
              <w:rPr>
                <w:rFonts w:asciiTheme="minorHAnsi" w:eastAsia="Calibri" w:hAnsiTheme="minorHAnsi"/>
                <w:spacing w:val="0"/>
                <w:sz w:val="18"/>
                <w:szCs w:val="18"/>
              </w:rPr>
              <w:t>Outros sectores</w:t>
            </w:r>
          </w:p>
        </w:tc>
        <w:tc>
          <w:tcPr>
            <w:tcW w:w="3261" w:type="dxa"/>
            <w:tcBorders>
              <w:top w:val="dotted" w:sz="4" w:space="0" w:color="auto"/>
            </w:tcBorders>
          </w:tcPr>
          <w:p w14:paraId="18B76C82" w14:textId="77777777" w:rsidR="00024BDA" w:rsidRPr="000120EA" w:rsidRDefault="00024BDA" w:rsidP="00B8504A">
            <w:pPr>
              <w:ind w:left="0"/>
              <w:contextualSpacing/>
              <w:jc w:val="center"/>
              <w:rPr>
                <w:rFonts w:asciiTheme="minorHAnsi" w:eastAsia="Calibri" w:hAnsiTheme="minorHAnsi"/>
                <w:spacing w:val="0"/>
                <w:sz w:val="18"/>
                <w:szCs w:val="18"/>
              </w:rPr>
            </w:pPr>
            <w:r w:rsidRPr="000120EA">
              <w:rPr>
                <w:rFonts w:asciiTheme="minorHAnsi" w:eastAsia="Calibri" w:hAnsiTheme="minorHAnsi"/>
                <w:spacing w:val="0"/>
                <w:sz w:val="18"/>
                <w:szCs w:val="18"/>
              </w:rPr>
              <w:t>10-15</w:t>
            </w:r>
          </w:p>
        </w:tc>
      </w:tr>
    </w:tbl>
    <w:p w14:paraId="226998B4" w14:textId="77777777" w:rsidR="00850728" w:rsidRDefault="00850728" w:rsidP="00024BDA">
      <w:pPr>
        <w:spacing w:before="120" w:after="120" w:line="360" w:lineRule="auto"/>
        <w:ind w:left="709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</w:p>
    <w:p w14:paraId="6D0D8C49" w14:textId="77777777" w:rsidR="00D7288F" w:rsidRPr="000120EA" w:rsidRDefault="00D7288F" w:rsidP="00024BDA">
      <w:pPr>
        <w:spacing w:before="120" w:after="120" w:line="360" w:lineRule="auto"/>
        <w:ind w:left="709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</w:p>
    <w:p w14:paraId="4813FE0B" w14:textId="77777777" w:rsidR="00F34B24" w:rsidRPr="009D51E4" w:rsidRDefault="00F34B24" w:rsidP="009D51E4">
      <w:pPr>
        <w:spacing w:line="360" w:lineRule="auto"/>
        <w:ind w:left="833" w:hanging="833"/>
        <w:rPr>
          <w:rFonts w:asciiTheme="minorHAnsi" w:eastAsia="Calibri" w:hAnsiTheme="minorHAnsi"/>
          <w:b/>
          <w:color w:val="4BACC6" w:themeColor="accent5"/>
          <w:sz w:val="22"/>
          <w:szCs w:val="22"/>
          <w:u w:val="single"/>
        </w:rPr>
      </w:pPr>
      <w:bookmarkStart w:id="66" w:name="_Toc430341676"/>
      <w:bookmarkStart w:id="67" w:name="_Toc464481581"/>
      <w:bookmarkStart w:id="68" w:name="_Toc464485175"/>
      <w:r w:rsidRPr="009D51E4">
        <w:rPr>
          <w:rFonts w:asciiTheme="minorHAnsi" w:eastAsia="Calibri" w:hAnsiTheme="minorHAnsi"/>
          <w:b/>
          <w:color w:val="4BACC6" w:themeColor="accent5"/>
          <w:sz w:val="22"/>
          <w:szCs w:val="22"/>
          <w:u w:val="single"/>
        </w:rPr>
        <w:t>Investimento</w:t>
      </w:r>
      <w:bookmarkEnd w:id="66"/>
      <w:bookmarkEnd w:id="67"/>
      <w:bookmarkEnd w:id="68"/>
    </w:p>
    <w:p w14:paraId="4205BEDE" w14:textId="77777777" w:rsidR="00F34B24" w:rsidRPr="000120EA" w:rsidRDefault="00F34B24" w:rsidP="00F34B24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 w:rsidRPr="000120EA">
        <w:rPr>
          <w:rFonts w:asciiTheme="minorHAnsi" w:hAnsiTheme="minorHAnsi"/>
          <w:sz w:val="22"/>
          <w:szCs w:val="22"/>
        </w:rPr>
        <w:t xml:space="preserve">O montante de investimento a considerar deve corresponder ao </w:t>
      </w:r>
      <w:r w:rsidRPr="002A539E">
        <w:rPr>
          <w:rFonts w:asciiTheme="minorHAnsi" w:hAnsiTheme="minorHAnsi"/>
          <w:b/>
          <w:sz w:val="22"/>
          <w:szCs w:val="22"/>
        </w:rPr>
        <w:t>Custo Total da Operação</w:t>
      </w:r>
      <w:r w:rsidRPr="000120EA">
        <w:rPr>
          <w:rFonts w:asciiTheme="minorHAnsi" w:hAnsiTheme="minorHAnsi"/>
          <w:sz w:val="22"/>
          <w:szCs w:val="22"/>
        </w:rPr>
        <w:t xml:space="preserve">, incluindo neste contexto os custos fixos (construção, terrenos, equipamento, </w:t>
      </w:r>
      <w:r w:rsidR="002A539E" w:rsidRPr="000120EA">
        <w:rPr>
          <w:rFonts w:asciiTheme="minorHAnsi" w:hAnsiTheme="minorHAnsi"/>
          <w:sz w:val="22"/>
          <w:szCs w:val="22"/>
        </w:rPr>
        <w:t>etc.</w:t>
      </w:r>
      <w:r w:rsidRPr="000120EA">
        <w:rPr>
          <w:rFonts w:asciiTheme="minorHAnsi" w:hAnsiTheme="minorHAnsi"/>
          <w:sz w:val="22"/>
          <w:szCs w:val="22"/>
        </w:rPr>
        <w:t xml:space="preserve">) e os intangíveis (custos de preparação, assistência técnica, </w:t>
      </w:r>
      <w:r w:rsidR="002A539E" w:rsidRPr="000120EA">
        <w:rPr>
          <w:rFonts w:asciiTheme="minorHAnsi" w:hAnsiTheme="minorHAnsi"/>
          <w:sz w:val="22"/>
          <w:szCs w:val="22"/>
        </w:rPr>
        <w:t>etc.</w:t>
      </w:r>
      <w:r w:rsidRPr="000120EA">
        <w:rPr>
          <w:rFonts w:asciiTheme="minorHAnsi" w:hAnsiTheme="minorHAnsi"/>
          <w:sz w:val="22"/>
          <w:szCs w:val="22"/>
        </w:rPr>
        <w:t>), assim como as Variações de Fundo de Maneio se a natureza do investimento o justificar</w:t>
      </w:r>
      <w:r w:rsidRPr="000120EA">
        <w:rPr>
          <w:rFonts w:asciiTheme="minorHAnsi" w:hAnsiTheme="minorHAnsi"/>
          <w:sz w:val="22"/>
          <w:szCs w:val="22"/>
          <w:vertAlign w:val="superscript"/>
        </w:rPr>
        <w:footnoteReference w:id="3"/>
      </w:r>
      <w:r w:rsidRPr="000120EA">
        <w:rPr>
          <w:rFonts w:asciiTheme="minorHAnsi" w:hAnsiTheme="minorHAnsi"/>
          <w:sz w:val="22"/>
          <w:szCs w:val="22"/>
        </w:rPr>
        <w:t>, os quais terão que ser devidamente fundamentados.</w:t>
      </w:r>
    </w:p>
    <w:tbl>
      <w:tblPr>
        <w:tblStyle w:val="Tabelacomgrelha"/>
        <w:tblW w:w="10031" w:type="dxa"/>
        <w:shd w:val="clear" w:color="auto" w:fill="F4E62C"/>
        <w:tblLook w:val="04A0" w:firstRow="1" w:lastRow="0" w:firstColumn="1" w:lastColumn="0" w:noHBand="0" w:noVBand="1"/>
      </w:tblPr>
      <w:tblGrid>
        <w:gridCol w:w="10031"/>
      </w:tblGrid>
      <w:tr w:rsidR="00F34B24" w:rsidRPr="000120EA" w14:paraId="2A3F44D0" w14:textId="77777777" w:rsidTr="000C1C90">
        <w:tc>
          <w:tcPr>
            <w:tcW w:w="10031" w:type="dxa"/>
            <w:shd w:val="clear" w:color="auto" w:fill="F4E62C"/>
          </w:tcPr>
          <w:p w14:paraId="71782070" w14:textId="77777777" w:rsidR="00E77662" w:rsidRPr="00E77662" w:rsidRDefault="00E77662" w:rsidP="00E77662">
            <w:pPr>
              <w:spacing w:before="120" w:after="120" w:line="360" w:lineRule="auto"/>
              <w:ind w:left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77662">
              <w:rPr>
                <w:rFonts w:asciiTheme="minorHAnsi" w:hAnsiTheme="minorHAnsi"/>
                <w:sz w:val="22"/>
                <w:szCs w:val="22"/>
              </w:rPr>
              <w:t xml:space="preserve">Para enquadramento e descrição do investimento associado à operação proposta a financiamento deve ser apresentada uma Memória Descritiva, nos termos do descrito no ponto 2. </w:t>
            </w:r>
            <w:proofErr w:type="gramStart"/>
            <w:r w:rsidRPr="00E77662">
              <w:rPr>
                <w:rFonts w:asciiTheme="minorHAnsi" w:hAnsiTheme="minorHAnsi"/>
                <w:sz w:val="22"/>
                <w:szCs w:val="22"/>
              </w:rPr>
              <w:t>e</w:t>
            </w:r>
            <w:proofErr w:type="gramEnd"/>
            <w:r w:rsidRPr="00E77662">
              <w:rPr>
                <w:rFonts w:asciiTheme="minorHAnsi" w:hAnsiTheme="minorHAnsi"/>
                <w:sz w:val="22"/>
                <w:szCs w:val="22"/>
              </w:rPr>
              <w:t xml:space="preserve"> do Anexo 4 ao presente documento.</w:t>
            </w:r>
          </w:p>
          <w:p w14:paraId="28816811" w14:textId="77777777" w:rsidR="00E77662" w:rsidRDefault="00E77662" w:rsidP="00E77662">
            <w:pPr>
              <w:spacing w:before="120" w:after="120" w:line="360" w:lineRule="auto"/>
              <w:ind w:left="0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Neste contexto, deve</w:t>
            </w:r>
            <w:r w:rsidRPr="00E77662">
              <w:rPr>
                <w:rFonts w:asciiTheme="minorHAnsi" w:hAnsiTheme="minorHAnsi"/>
                <w:sz w:val="22"/>
                <w:szCs w:val="22"/>
              </w:rPr>
              <w:t xml:space="preserve"> ser assegurada a coerência entre os indicadores físicos do investimento descrito e os pressupostos de exploração assumidos para enquadramentos da projeção de custos e de receitas.</w:t>
            </w:r>
          </w:p>
          <w:p w14:paraId="078225ED" w14:textId="77777777" w:rsidR="00F34B24" w:rsidRPr="000120EA" w:rsidRDefault="00F34B24" w:rsidP="000C1C90">
            <w:pPr>
              <w:spacing w:before="120" w:after="120" w:line="360" w:lineRule="auto"/>
              <w:ind w:left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>Para efeitos de análise financeira, os custos de investimento:</w:t>
            </w:r>
          </w:p>
          <w:p w14:paraId="26F5AF18" w14:textId="77777777" w:rsidR="00B52307" w:rsidRDefault="00F34B24" w:rsidP="00B52307">
            <w:pPr>
              <w:numPr>
                <w:ilvl w:val="0"/>
                <w:numId w:val="18"/>
              </w:numPr>
              <w:spacing w:before="120" w:after="120" w:line="360" w:lineRule="auto"/>
              <w:contextualSpacing/>
              <w:jc w:val="both"/>
              <w:rPr>
                <w:rFonts w:asciiTheme="minorHAnsi" w:eastAsia="Calibri" w:hAnsiTheme="minorHAnsi"/>
                <w:spacing w:val="0"/>
                <w:sz w:val="22"/>
                <w:szCs w:val="22"/>
              </w:rPr>
            </w:pPr>
            <w:r w:rsidRPr="000120EA">
              <w:rPr>
                <w:rFonts w:asciiTheme="minorHAnsi" w:eastAsia="Calibri" w:hAnsiTheme="minorHAnsi"/>
                <w:spacing w:val="0"/>
                <w:sz w:val="22"/>
                <w:szCs w:val="22"/>
              </w:rPr>
              <w:t>Devem ser apresentados por componente e de acordo com o momento em que ocorrem.</w:t>
            </w:r>
          </w:p>
          <w:p w14:paraId="7ACF3F43" w14:textId="5CA21EC4" w:rsidR="001F7B12" w:rsidRPr="00F55BB0" w:rsidRDefault="001F7B12" w:rsidP="00894726">
            <w:pPr>
              <w:pStyle w:val="PargrafodaLista"/>
              <w:numPr>
                <w:ilvl w:val="0"/>
                <w:numId w:val="18"/>
              </w:numPr>
              <w:jc w:val="both"/>
              <w:rPr>
                <w:rFonts w:asciiTheme="minorHAnsi" w:hAnsiTheme="minorHAnsi"/>
              </w:rPr>
            </w:pPr>
            <w:r w:rsidRPr="00F55BB0">
              <w:rPr>
                <w:rFonts w:asciiTheme="minorHAnsi" w:hAnsiTheme="minorHAnsi"/>
              </w:rPr>
              <w:t xml:space="preserve">Eventuais custos de investimento anteriores ao ano identificado como ano base (ano da decisão que </w:t>
            </w:r>
            <w:r w:rsidRPr="00F55BB0">
              <w:rPr>
                <w:rFonts w:asciiTheme="minorHAnsi" w:hAnsiTheme="minorHAnsi"/>
              </w:rPr>
              <w:lastRenderedPageBreak/>
              <w:t>torna o investimento irreversível) deverão ser convertido</w:t>
            </w:r>
            <w:r w:rsidR="00894726">
              <w:rPr>
                <w:rFonts w:asciiTheme="minorHAnsi" w:hAnsiTheme="minorHAnsi"/>
              </w:rPr>
              <w:t>s</w:t>
            </w:r>
            <w:r w:rsidRPr="00F55BB0">
              <w:rPr>
                <w:rFonts w:asciiTheme="minorHAnsi" w:hAnsiTheme="minorHAnsi"/>
              </w:rPr>
              <w:t xml:space="preserve"> a preços constantes do ano base, mediante capitalização pelos IPC.</w:t>
            </w:r>
          </w:p>
          <w:p w14:paraId="3A4AF5D3" w14:textId="77777777" w:rsidR="00B52307" w:rsidRPr="00B52307" w:rsidRDefault="00B52307" w:rsidP="00B52307">
            <w:pPr>
              <w:numPr>
                <w:ilvl w:val="0"/>
                <w:numId w:val="18"/>
              </w:numPr>
              <w:spacing w:before="120" w:after="120" w:line="360" w:lineRule="auto"/>
              <w:contextualSpacing/>
              <w:jc w:val="both"/>
              <w:rPr>
                <w:rFonts w:asciiTheme="minorHAnsi" w:eastAsia="Calibri" w:hAnsiTheme="minorHAnsi"/>
                <w:spacing w:val="0"/>
                <w:sz w:val="22"/>
                <w:szCs w:val="22"/>
              </w:rPr>
            </w:pPr>
            <w:r w:rsidRPr="00B52307">
              <w:rPr>
                <w:rFonts w:asciiTheme="minorHAnsi" w:hAnsiTheme="minorHAnsi"/>
                <w:sz w:val="22"/>
                <w:szCs w:val="22"/>
              </w:rPr>
              <w:t xml:space="preserve">Os montantes de investimento assumidos deverão estar suportados em contrato e/ou em faturação ou em estudos técnicos relacionados, nomeadamente no projeto de execução. Neste contexto importa recordar que </w:t>
            </w:r>
            <w:r w:rsidR="00084C1E">
              <w:rPr>
                <w:rFonts w:asciiTheme="minorHAnsi" w:hAnsiTheme="minorHAnsi"/>
                <w:sz w:val="22"/>
                <w:szCs w:val="22"/>
              </w:rPr>
              <w:t xml:space="preserve">o investimento total </w:t>
            </w:r>
            <w:r w:rsidRPr="00B52307">
              <w:rPr>
                <w:rFonts w:asciiTheme="minorHAnsi" w:hAnsiTheme="minorHAnsi"/>
                <w:sz w:val="22"/>
                <w:szCs w:val="22"/>
              </w:rPr>
              <w:t>elegível pode ser distint</w:t>
            </w:r>
            <w:r w:rsidR="00084C1E">
              <w:rPr>
                <w:rFonts w:asciiTheme="minorHAnsi" w:hAnsiTheme="minorHAnsi"/>
                <w:sz w:val="22"/>
                <w:szCs w:val="22"/>
              </w:rPr>
              <w:t>o</w:t>
            </w:r>
            <w:r w:rsidRPr="00B52307">
              <w:rPr>
                <w:rFonts w:asciiTheme="minorHAnsi" w:hAnsiTheme="minorHAnsi"/>
                <w:sz w:val="22"/>
                <w:szCs w:val="22"/>
              </w:rPr>
              <w:t xml:space="preserve"> do custo total de investimento sendo este </w:t>
            </w:r>
            <w:r w:rsidR="00084C1E">
              <w:rPr>
                <w:rFonts w:asciiTheme="minorHAnsi" w:hAnsiTheme="minorHAnsi"/>
                <w:sz w:val="22"/>
                <w:szCs w:val="22"/>
              </w:rPr>
              <w:t xml:space="preserve">último </w:t>
            </w:r>
            <w:r w:rsidRPr="00B52307">
              <w:rPr>
                <w:rFonts w:asciiTheme="minorHAnsi" w:hAnsiTheme="minorHAnsi"/>
                <w:sz w:val="22"/>
                <w:szCs w:val="22"/>
              </w:rPr>
              <w:t>que releva para o EVF.</w:t>
            </w:r>
          </w:p>
          <w:p w14:paraId="78C4A01C" w14:textId="77777777" w:rsidR="0019507D" w:rsidRPr="00B52307" w:rsidRDefault="00F34B24" w:rsidP="00B52307">
            <w:pPr>
              <w:numPr>
                <w:ilvl w:val="0"/>
                <w:numId w:val="18"/>
              </w:numPr>
              <w:spacing w:before="120" w:after="120" w:line="360" w:lineRule="auto"/>
              <w:contextualSpacing/>
              <w:jc w:val="both"/>
              <w:rPr>
                <w:rFonts w:asciiTheme="minorHAnsi" w:eastAsia="Calibri" w:hAnsiTheme="minorHAnsi"/>
                <w:spacing w:val="0"/>
                <w:sz w:val="22"/>
                <w:szCs w:val="22"/>
              </w:rPr>
            </w:pPr>
            <w:r w:rsidRPr="00DD111E">
              <w:rPr>
                <w:rFonts w:asciiTheme="minorHAnsi" w:eastAsia="Calibri" w:hAnsiTheme="minorHAnsi"/>
                <w:spacing w:val="0"/>
                <w:sz w:val="22"/>
                <w:szCs w:val="22"/>
              </w:rPr>
              <w:t>Não deve ser considerado o montante associado a revisões de preços, uma vez que a análise é efetuada a preços constantes do primeiro ano do investimento, sendo por isso excluído o efeito da inflação.</w:t>
            </w:r>
            <w:r w:rsidR="00B52307">
              <w:t xml:space="preserve"> </w:t>
            </w:r>
            <w:r w:rsidR="00B52307" w:rsidRPr="00B52307">
              <w:rPr>
                <w:rFonts w:asciiTheme="minorHAnsi" w:eastAsia="Calibri" w:hAnsiTheme="minorHAnsi"/>
                <w:spacing w:val="0"/>
                <w:sz w:val="22"/>
                <w:szCs w:val="22"/>
              </w:rPr>
              <w:t>Nestes casos não deverá ser aplicado IPC para a conversão dos preços, considerando-se que a exclusão da revisão de preços coloca o investimento a preços constantes do ano base.</w:t>
            </w:r>
          </w:p>
        </w:tc>
      </w:tr>
    </w:tbl>
    <w:p w14:paraId="583FB61B" w14:textId="77777777" w:rsidR="00217B3E" w:rsidRPr="000120EA" w:rsidRDefault="00217B3E" w:rsidP="002A539E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</w:p>
    <w:p w14:paraId="1F39FBC8" w14:textId="77777777" w:rsidR="00F34B24" w:rsidRPr="009D51E4" w:rsidRDefault="00F34B24" w:rsidP="009D51E4">
      <w:pPr>
        <w:spacing w:line="360" w:lineRule="auto"/>
        <w:ind w:left="833" w:hanging="833"/>
        <w:rPr>
          <w:rFonts w:asciiTheme="minorHAnsi" w:eastAsia="Calibri" w:hAnsiTheme="minorHAnsi"/>
          <w:b/>
          <w:color w:val="4BACC6" w:themeColor="accent5"/>
          <w:sz w:val="22"/>
          <w:szCs w:val="22"/>
          <w:u w:val="single"/>
        </w:rPr>
      </w:pPr>
      <w:bookmarkStart w:id="69" w:name="_Toc430341677"/>
      <w:bookmarkStart w:id="70" w:name="_Toc464481582"/>
      <w:bookmarkStart w:id="71" w:name="_Toc464485176"/>
      <w:r w:rsidRPr="009D51E4">
        <w:rPr>
          <w:rFonts w:asciiTheme="minorHAnsi" w:eastAsia="Calibri" w:hAnsiTheme="minorHAnsi"/>
          <w:b/>
          <w:color w:val="4BACC6" w:themeColor="accent5"/>
          <w:sz w:val="22"/>
          <w:szCs w:val="22"/>
          <w:u w:val="single"/>
        </w:rPr>
        <w:t>Receitas</w:t>
      </w:r>
      <w:bookmarkEnd w:id="69"/>
      <w:bookmarkEnd w:id="70"/>
      <w:bookmarkEnd w:id="71"/>
    </w:p>
    <w:p w14:paraId="0E7CF68F" w14:textId="77777777" w:rsidR="00F34B24" w:rsidRPr="000120EA" w:rsidRDefault="00F34B24" w:rsidP="00F34B24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 w:rsidRPr="000120EA">
        <w:rPr>
          <w:rFonts w:asciiTheme="minorHAnsi" w:hAnsiTheme="minorHAnsi"/>
          <w:sz w:val="22"/>
          <w:szCs w:val="22"/>
        </w:rPr>
        <w:t>As receitas incrementais a considerar são as que resultam de pagamentos diretos dos utilizadores das infraestruturas, excluindo transferências ou subsídios</w:t>
      </w:r>
      <w:r w:rsidRPr="000120EA">
        <w:rPr>
          <w:rFonts w:asciiTheme="minorHAnsi" w:hAnsiTheme="minorHAnsi"/>
          <w:sz w:val="22"/>
          <w:szCs w:val="22"/>
          <w:vertAlign w:val="superscript"/>
        </w:rPr>
        <w:footnoteReference w:id="4"/>
      </w:r>
      <w:r w:rsidRPr="000120EA">
        <w:rPr>
          <w:rFonts w:asciiTheme="minorHAnsi" w:hAnsiTheme="minorHAnsi"/>
          <w:sz w:val="22"/>
          <w:szCs w:val="22"/>
        </w:rPr>
        <w:t>. As mesmas são determinadas pela projeção de quantidades de produtos/serviços a fornecer e de preços dos mesmos.</w:t>
      </w:r>
    </w:p>
    <w:p w14:paraId="6B0B89B0" w14:textId="77777777" w:rsidR="00F34B24" w:rsidRPr="000120EA" w:rsidRDefault="00F34B24" w:rsidP="00F34B24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 w:rsidRPr="000120EA">
        <w:rPr>
          <w:rFonts w:asciiTheme="minorHAnsi" w:hAnsiTheme="minorHAnsi"/>
          <w:sz w:val="22"/>
          <w:szCs w:val="22"/>
        </w:rPr>
        <w:t xml:space="preserve">De referir que, </w:t>
      </w:r>
      <w:r w:rsidRPr="000120EA">
        <w:rPr>
          <w:rFonts w:asciiTheme="minorHAnsi" w:hAnsiTheme="minorHAnsi"/>
          <w:sz w:val="22"/>
          <w:szCs w:val="22"/>
          <w:u w:val="single"/>
        </w:rPr>
        <w:t>sempre que uma operação conduza à redução dos custos de exploração, face ao cenário de ausência de implementação do projeto, a mesma deve ser considerada como uma receita decorrente do mesmo</w:t>
      </w:r>
      <w:r w:rsidRPr="000120EA">
        <w:rPr>
          <w:rFonts w:asciiTheme="minorHAnsi" w:hAnsiTheme="minorHAnsi"/>
          <w:sz w:val="22"/>
          <w:szCs w:val="22"/>
        </w:rPr>
        <w:t>.</w:t>
      </w:r>
    </w:p>
    <w:tbl>
      <w:tblPr>
        <w:tblStyle w:val="Tabelacomgrelha"/>
        <w:tblW w:w="10031" w:type="dxa"/>
        <w:shd w:val="clear" w:color="auto" w:fill="F4E62C"/>
        <w:tblLook w:val="04A0" w:firstRow="1" w:lastRow="0" w:firstColumn="1" w:lastColumn="0" w:noHBand="0" w:noVBand="1"/>
      </w:tblPr>
      <w:tblGrid>
        <w:gridCol w:w="10031"/>
      </w:tblGrid>
      <w:tr w:rsidR="00F34B24" w:rsidRPr="000120EA" w14:paraId="6BD7B66B" w14:textId="77777777" w:rsidTr="000C1C90">
        <w:tc>
          <w:tcPr>
            <w:tcW w:w="10031" w:type="dxa"/>
            <w:shd w:val="clear" w:color="auto" w:fill="F4E62C"/>
          </w:tcPr>
          <w:p w14:paraId="34AE188E" w14:textId="77777777" w:rsidR="00F34B24" w:rsidRPr="000120EA" w:rsidRDefault="00F34B24" w:rsidP="000C1C90">
            <w:pPr>
              <w:spacing w:before="120" w:after="120" w:line="360" w:lineRule="auto"/>
              <w:ind w:left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>Deverá ser obrigatoriamente remetida, como suporte do EVF, a informação relevante para o enquadramento previsional das quantidades e preços considerados, para apuramento das receitas incrementais, a saber:</w:t>
            </w:r>
          </w:p>
          <w:p w14:paraId="15F0BD8E" w14:textId="77777777" w:rsidR="00F34B24" w:rsidRPr="000120EA" w:rsidRDefault="00F34B24" w:rsidP="00305028">
            <w:pPr>
              <w:numPr>
                <w:ilvl w:val="0"/>
                <w:numId w:val="23"/>
              </w:numPr>
              <w:spacing w:before="120" w:after="120" w:line="360" w:lineRule="auto"/>
              <w:ind w:left="880" w:hanging="284"/>
              <w:contextualSpacing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 xml:space="preserve">Sempre que a projeção de quantidades de produtos/serviços a fornecer (evolução da procura) estiver dependente da variação dos indicadores demográficos da região abrangida pelo </w:t>
            </w:r>
            <w:r w:rsidR="00D41C1C">
              <w:rPr>
                <w:rFonts w:asciiTheme="minorHAnsi" w:hAnsiTheme="minorHAnsi"/>
                <w:sz w:val="22"/>
                <w:szCs w:val="22"/>
              </w:rPr>
              <w:t>investimento</w:t>
            </w:r>
            <w:r w:rsidRPr="000120EA">
              <w:rPr>
                <w:rFonts w:asciiTheme="minorHAnsi" w:hAnsiTheme="minorHAnsi"/>
                <w:sz w:val="22"/>
                <w:szCs w:val="22"/>
              </w:rPr>
              <w:t>, os dados que suportam a análise financeira apenas serão aceites com base em projeções oficiais conhecidas.</w:t>
            </w:r>
          </w:p>
          <w:p w14:paraId="4FA4AC61" w14:textId="77777777" w:rsidR="00F34B24" w:rsidRPr="000120EA" w:rsidRDefault="00F34B24" w:rsidP="00305028">
            <w:pPr>
              <w:numPr>
                <w:ilvl w:val="0"/>
                <w:numId w:val="23"/>
              </w:numPr>
              <w:spacing w:before="120" w:after="120" w:line="360" w:lineRule="auto"/>
              <w:ind w:left="880" w:hanging="284"/>
              <w:contextualSpacing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>A projeção de receitas e respetivo histórico deverão estar baseados nos apuramentos contabilísticos separados da Contabilidade Geral e Analítica, podendo os mesmos ser comprovados e auditados.</w:t>
            </w:r>
          </w:p>
          <w:p w14:paraId="7B75DD20" w14:textId="77777777" w:rsidR="00F34B24" w:rsidRPr="000120EA" w:rsidRDefault="00F34B24" w:rsidP="00305028">
            <w:pPr>
              <w:numPr>
                <w:ilvl w:val="0"/>
                <w:numId w:val="23"/>
              </w:numPr>
              <w:spacing w:before="120" w:after="120" w:line="360" w:lineRule="auto"/>
              <w:ind w:left="880" w:hanging="284"/>
              <w:contextualSpacing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 xml:space="preserve">Caso não exista histórico, a projeção de receitas a considerar terá que ser suportada por elementos comprovativos da sua fiabilidade, nomeadamente pareceres setoriais e/ou recomendações das </w:t>
            </w:r>
            <w:r w:rsidRPr="000120EA">
              <w:rPr>
                <w:rFonts w:asciiTheme="minorHAnsi" w:hAnsiTheme="minorHAnsi"/>
                <w:sz w:val="22"/>
                <w:szCs w:val="22"/>
              </w:rPr>
              <w:lastRenderedPageBreak/>
              <w:t>entidades reguladoras ou tabelas de preços aprovadas.</w:t>
            </w:r>
          </w:p>
          <w:p w14:paraId="73B1174C" w14:textId="439A029F" w:rsidR="00894726" w:rsidRPr="00894726" w:rsidRDefault="00F34B24" w:rsidP="00894726">
            <w:pPr>
              <w:numPr>
                <w:ilvl w:val="0"/>
                <w:numId w:val="23"/>
              </w:numPr>
              <w:spacing w:before="120" w:after="120" w:line="360" w:lineRule="auto"/>
              <w:ind w:left="880" w:hanging="284"/>
              <w:contextualSpacing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 xml:space="preserve">No que respeita à variável preço deverão ser identificados e fundamentados os pressupostos assumidos quanto às tarifas aplicáveis durante o período de exploração do </w:t>
            </w:r>
            <w:r w:rsidR="00D41C1C">
              <w:rPr>
                <w:rFonts w:asciiTheme="minorHAnsi" w:hAnsiTheme="minorHAnsi"/>
                <w:sz w:val="22"/>
                <w:szCs w:val="22"/>
              </w:rPr>
              <w:t>investimento</w:t>
            </w:r>
            <w:r w:rsidRPr="000120EA">
              <w:rPr>
                <w:rFonts w:asciiTheme="minorHAnsi" w:hAnsiTheme="minorHAnsi"/>
                <w:sz w:val="22"/>
                <w:szCs w:val="22"/>
              </w:rPr>
              <w:t>.</w:t>
            </w:r>
            <w:r w:rsidR="00B52307">
              <w:t xml:space="preserve"> </w:t>
            </w:r>
            <w:r w:rsidR="00B52307" w:rsidRPr="00B52307">
              <w:rPr>
                <w:rFonts w:asciiTheme="minorHAnsi" w:hAnsiTheme="minorHAnsi"/>
                <w:sz w:val="22"/>
                <w:szCs w:val="22"/>
              </w:rPr>
              <w:t xml:space="preserve">Nos casos em que se verifica que a </w:t>
            </w:r>
            <w:r w:rsidR="00550908">
              <w:rPr>
                <w:rFonts w:asciiTheme="minorHAnsi" w:hAnsiTheme="minorHAnsi"/>
                <w:sz w:val="22"/>
                <w:szCs w:val="22"/>
              </w:rPr>
              <w:t xml:space="preserve">evolução do tarifário </w:t>
            </w:r>
            <w:r w:rsidR="00B52307">
              <w:rPr>
                <w:rFonts w:asciiTheme="minorHAnsi" w:hAnsiTheme="minorHAnsi"/>
                <w:sz w:val="22"/>
                <w:szCs w:val="22"/>
              </w:rPr>
              <w:t>se encontra ajustada pela inflação dever</w:t>
            </w:r>
            <w:r w:rsidR="00550908">
              <w:rPr>
                <w:rFonts w:asciiTheme="minorHAnsi" w:hAnsiTheme="minorHAnsi"/>
                <w:sz w:val="22"/>
                <w:szCs w:val="22"/>
              </w:rPr>
              <w:t xml:space="preserve">á ser anulado o efeito da mesma pela aplicação do </w:t>
            </w:r>
            <w:r w:rsidR="00B52307" w:rsidRPr="00B52307">
              <w:rPr>
                <w:rFonts w:asciiTheme="minorHAnsi" w:hAnsiTheme="minorHAnsi"/>
                <w:sz w:val="22"/>
                <w:szCs w:val="22"/>
              </w:rPr>
              <w:t>IPC para</w:t>
            </w:r>
            <w:r w:rsidR="00550908">
              <w:rPr>
                <w:rFonts w:asciiTheme="minorHAnsi" w:hAnsiTheme="minorHAnsi"/>
                <w:sz w:val="22"/>
                <w:szCs w:val="22"/>
              </w:rPr>
              <w:t xml:space="preserve"> conversão a preços constantes. </w:t>
            </w:r>
            <w:r w:rsidRPr="00550908">
              <w:rPr>
                <w:rFonts w:asciiTheme="minorHAnsi" w:hAnsiTheme="minorHAnsi"/>
                <w:sz w:val="22"/>
                <w:szCs w:val="22"/>
              </w:rPr>
              <w:t>Para este efeito terá que ser considerada a aplicação dos Regulamentos Tarifários em vigor, aprovados pelas respetivas Entidades Reguladoras, bem como os Princípios do Utilizador-Pagador.</w:t>
            </w:r>
            <w:r w:rsidR="00894726">
              <w:rPr>
                <w:rFonts w:asciiTheme="minorHAnsi" w:hAnsiTheme="minorHAnsi"/>
                <w:sz w:val="22"/>
                <w:szCs w:val="22"/>
              </w:rPr>
              <w:t xml:space="preserve"> Nos </w:t>
            </w:r>
            <w:r w:rsidR="00894726" w:rsidRPr="00894726">
              <w:rPr>
                <w:rFonts w:asciiTheme="minorHAnsi" w:hAnsiTheme="minorHAnsi"/>
                <w:sz w:val="22"/>
                <w:szCs w:val="22"/>
              </w:rPr>
              <w:t>casos das atualizações tarifárias</w:t>
            </w:r>
            <w:r w:rsidR="00894726">
              <w:rPr>
                <w:rFonts w:asciiTheme="minorHAnsi" w:hAnsiTheme="minorHAnsi"/>
                <w:sz w:val="22"/>
                <w:szCs w:val="22"/>
              </w:rPr>
              <w:t xml:space="preserve"> previstas que não sejam decorrentes do efeito da inflação, como sejam, por exemplo, os aumentos tarifários para aumentar a sustentabilidade dos sistemas, tais atualizações</w:t>
            </w:r>
            <w:r w:rsidR="00F13BFB">
              <w:rPr>
                <w:rFonts w:asciiTheme="minorHAnsi" w:hAnsiTheme="minorHAnsi"/>
                <w:sz w:val="22"/>
                <w:szCs w:val="22"/>
              </w:rPr>
              <w:t xml:space="preserve"> devem ser </w:t>
            </w:r>
            <w:proofErr w:type="gramStart"/>
            <w:r w:rsidR="00F13BFB">
              <w:rPr>
                <w:rFonts w:asciiTheme="minorHAnsi" w:hAnsiTheme="minorHAnsi"/>
                <w:sz w:val="22"/>
                <w:szCs w:val="22"/>
              </w:rPr>
              <w:t>consideradas</w:t>
            </w:r>
            <w:proofErr w:type="gramEnd"/>
            <w:r w:rsidR="00F13BFB">
              <w:rPr>
                <w:rFonts w:asciiTheme="minorHAnsi" w:hAnsiTheme="minorHAnsi"/>
                <w:sz w:val="22"/>
                <w:szCs w:val="22"/>
              </w:rPr>
              <w:t xml:space="preserve"> e devidamente fundamentadas.</w:t>
            </w:r>
          </w:p>
        </w:tc>
      </w:tr>
    </w:tbl>
    <w:p w14:paraId="4D7E11CB" w14:textId="77777777" w:rsidR="00F34B24" w:rsidRPr="000120EA" w:rsidRDefault="00F34B24" w:rsidP="00F34B24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</w:p>
    <w:p w14:paraId="787D7A60" w14:textId="77777777" w:rsidR="00F34B24" w:rsidRPr="009D51E4" w:rsidRDefault="00F34B24" w:rsidP="009D51E4">
      <w:pPr>
        <w:spacing w:line="360" w:lineRule="auto"/>
        <w:ind w:left="833" w:hanging="833"/>
        <w:rPr>
          <w:rFonts w:asciiTheme="minorHAnsi" w:eastAsia="Calibri" w:hAnsiTheme="minorHAnsi"/>
          <w:b/>
          <w:color w:val="4BACC6" w:themeColor="accent5"/>
          <w:sz w:val="22"/>
          <w:szCs w:val="22"/>
          <w:u w:val="single"/>
        </w:rPr>
      </w:pPr>
      <w:bookmarkStart w:id="72" w:name="_Toc430341678"/>
      <w:bookmarkStart w:id="73" w:name="_Toc464481583"/>
      <w:bookmarkStart w:id="74" w:name="_Toc464485177"/>
      <w:r w:rsidRPr="009D51E4">
        <w:rPr>
          <w:rFonts w:asciiTheme="minorHAnsi" w:eastAsia="Calibri" w:hAnsiTheme="minorHAnsi"/>
          <w:b/>
          <w:color w:val="4BACC6" w:themeColor="accent5"/>
          <w:sz w:val="22"/>
          <w:szCs w:val="22"/>
          <w:u w:val="single"/>
        </w:rPr>
        <w:t>Custos</w:t>
      </w:r>
      <w:bookmarkEnd w:id="72"/>
      <w:bookmarkEnd w:id="73"/>
      <w:bookmarkEnd w:id="74"/>
    </w:p>
    <w:p w14:paraId="00CCA8B8" w14:textId="77777777" w:rsidR="00F34B24" w:rsidRPr="000120EA" w:rsidRDefault="00217B3E" w:rsidP="00F34B24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Em conformidade com o disposto no artigo</w:t>
      </w:r>
      <w:r w:rsidRPr="000120EA">
        <w:rPr>
          <w:rFonts w:asciiTheme="minorHAnsi" w:hAnsiTheme="minorHAnsi"/>
          <w:sz w:val="22"/>
          <w:szCs w:val="22"/>
        </w:rPr>
        <w:t>1</w:t>
      </w:r>
      <w:r>
        <w:rPr>
          <w:rFonts w:asciiTheme="minorHAnsi" w:hAnsiTheme="minorHAnsi"/>
          <w:sz w:val="22"/>
          <w:szCs w:val="22"/>
        </w:rPr>
        <w:t>7</w:t>
      </w:r>
      <w:r w:rsidRPr="000120EA">
        <w:rPr>
          <w:rFonts w:asciiTheme="minorHAnsi" w:hAnsiTheme="minorHAnsi"/>
          <w:sz w:val="22"/>
          <w:szCs w:val="22"/>
        </w:rPr>
        <w:t>º, do Regulamento Delegado (UE) nº. 480/2014</w:t>
      </w:r>
      <w:r>
        <w:rPr>
          <w:rFonts w:asciiTheme="minorHAnsi" w:hAnsiTheme="minorHAnsi"/>
          <w:sz w:val="22"/>
          <w:szCs w:val="22"/>
        </w:rPr>
        <w:t>, p</w:t>
      </w:r>
      <w:r w:rsidR="00F34B24" w:rsidRPr="000120EA">
        <w:rPr>
          <w:rFonts w:asciiTheme="minorHAnsi" w:hAnsiTheme="minorHAnsi"/>
          <w:sz w:val="22"/>
          <w:szCs w:val="22"/>
        </w:rPr>
        <w:t xml:space="preserve">ara efeitos do cálculo da </w:t>
      </w:r>
      <w:r w:rsidR="00024BDA">
        <w:rPr>
          <w:rFonts w:asciiTheme="minorHAnsi" w:hAnsiTheme="minorHAnsi"/>
          <w:sz w:val="22"/>
          <w:szCs w:val="22"/>
        </w:rPr>
        <w:t>rentabilidade financeira do investimento</w:t>
      </w:r>
      <w:r w:rsidR="00F34B24" w:rsidRPr="000120EA">
        <w:rPr>
          <w:rFonts w:asciiTheme="minorHAnsi" w:hAnsiTheme="minorHAnsi"/>
          <w:sz w:val="22"/>
          <w:szCs w:val="22"/>
        </w:rPr>
        <w:t>, devem ser tidos em conta os seguintes custos que ocorram durante</w:t>
      </w:r>
      <w:r w:rsidR="00D41C1C">
        <w:rPr>
          <w:rFonts w:asciiTheme="minorHAnsi" w:hAnsiTheme="minorHAnsi"/>
          <w:sz w:val="22"/>
          <w:szCs w:val="22"/>
        </w:rPr>
        <w:t xml:space="preserve"> a fase de exploração do investimento</w:t>
      </w:r>
      <w:r w:rsidR="00F34B24" w:rsidRPr="000120EA">
        <w:rPr>
          <w:rFonts w:asciiTheme="minorHAnsi" w:hAnsiTheme="minorHAnsi"/>
          <w:sz w:val="22"/>
          <w:szCs w:val="22"/>
        </w:rPr>
        <w:t>:</w:t>
      </w:r>
    </w:p>
    <w:p w14:paraId="4671476D" w14:textId="77777777" w:rsidR="00F34B24" w:rsidRPr="000120EA" w:rsidRDefault="00F34B24" w:rsidP="00305028">
      <w:pPr>
        <w:numPr>
          <w:ilvl w:val="2"/>
          <w:numId w:val="19"/>
        </w:numPr>
        <w:spacing w:before="120" w:after="120" w:line="360" w:lineRule="auto"/>
        <w:ind w:left="709" w:hanging="425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0120EA">
        <w:rPr>
          <w:rFonts w:asciiTheme="minorHAnsi" w:eastAsia="Calibri" w:hAnsiTheme="minorHAnsi"/>
          <w:spacing w:val="0"/>
          <w:sz w:val="22"/>
          <w:szCs w:val="22"/>
        </w:rPr>
        <w:t>Custos fixos de exploração, incluindo custos de pessoal, manutenção e reparação, gestão e administração geral, e seguros;</w:t>
      </w:r>
    </w:p>
    <w:p w14:paraId="02CDFD5D" w14:textId="77777777" w:rsidR="00F34B24" w:rsidRPr="000120EA" w:rsidRDefault="00F34B24" w:rsidP="00305028">
      <w:pPr>
        <w:numPr>
          <w:ilvl w:val="2"/>
          <w:numId w:val="19"/>
        </w:numPr>
        <w:spacing w:before="120" w:after="120" w:line="360" w:lineRule="auto"/>
        <w:ind w:left="709" w:hanging="425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0120EA">
        <w:rPr>
          <w:rFonts w:asciiTheme="minorHAnsi" w:eastAsia="Calibri" w:hAnsiTheme="minorHAnsi"/>
          <w:spacing w:val="0"/>
          <w:sz w:val="22"/>
          <w:szCs w:val="22"/>
        </w:rPr>
        <w:t>Custos variáveis de exploração, como seja o consumo de matérias-primas, energia, consumíveis e reparação, necessários para prolongar a operação.</w:t>
      </w:r>
    </w:p>
    <w:p w14:paraId="337D92C8" w14:textId="77777777" w:rsidR="00F34B24" w:rsidRPr="000120EA" w:rsidRDefault="00F34B24" w:rsidP="00305028">
      <w:pPr>
        <w:numPr>
          <w:ilvl w:val="2"/>
          <w:numId w:val="19"/>
        </w:numPr>
        <w:spacing w:before="120" w:after="120" w:line="360" w:lineRule="auto"/>
        <w:ind w:left="709" w:hanging="425"/>
        <w:contextualSpacing/>
        <w:jc w:val="both"/>
        <w:rPr>
          <w:rFonts w:asciiTheme="minorHAnsi" w:eastAsia="Calibri" w:hAnsiTheme="minorHAnsi"/>
          <w:b/>
          <w:spacing w:val="0"/>
          <w:sz w:val="22"/>
          <w:szCs w:val="22"/>
        </w:rPr>
      </w:pPr>
      <w:r w:rsidRPr="000120EA">
        <w:rPr>
          <w:rFonts w:asciiTheme="minorHAnsi" w:eastAsia="Calibri" w:hAnsiTheme="minorHAnsi"/>
          <w:spacing w:val="0"/>
          <w:sz w:val="22"/>
          <w:szCs w:val="22"/>
        </w:rPr>
        <w:t>Custos de substituição dos equipamentos, que sejam necessários para assegurar o funcionamento técnico adequado da operação, os quais devem estar suportados em informação técnica específica, de acordo com as melhores práticas do setor.</w:t>
      </w:r>
    </w:p>
    <w:p w14:paraId="7374CCC3" w14:textId="77777777" w:rsidR="00E464D1" w:rsidRPr="000120EA" w:rsidRDefault="00E464D1" w:rsidP="00550908">
      <w:pPr>
        <w:spacing w:before="120" w:after="120" w:line="360" w:lineRule="auto"/>
        <w:ind w:left="0"/>
        <w:contextualSpacing/>
        <w:jc w:val="both"/>
        <w:rPr>
          <w:rFonts w:asciiTheme="minorHAnsi" w:eastAsia="Calibri" w:hAnsiTheme="minorHAnsi"/>
          <w:b/>
          <w:spacing w:val="0"/>
          <w:sz w:val="22"/>
          <w:szCs w:val="22"/>
        </w:rPr>
      </w:pPr>
    </w:p>
    <w:tbl>
      <w:tblPr>
        <w:tblStyle w:val="Tabelacomgrelha"/>
        <w:tblW w:w="10036" w:type="dxa"/>
        <w:tblInd w:w="-5" w:type="dxa"/>
        <w:shd w:val="clear" w:color="auto" w:fill="F4E62C"/>
        <w:tblLook w:val="04A0" w:firstRow="1" w:lastRow="0" w:firstColumn="1" w:lastColumn="0" w:noHBand="0" w:noVBand="1"/>
      </w:tblPr>
      <w:tblGrid>
        <w:gridCol w:w="10036"/>
      </w:tblGrid>
      <w:tr w:rsidR="00F34B24" w:rsidRPr="000120EA" w14:paraId="42170EB6" w14:textId="77777777" w:rsidTr="000C1C90">
        <w:tc>
          <w:tcPr>
            <w:tcW w:w="10036" w:type="dxa"/>
            <w:shd w:val="clear" w:color="auto" w:fill="F4E62C"/>
          </w:tcPr>
          <w:p w14:paraId="62E037F8" w14:textId="77777777" w:rsidR="00217B3E" w:rsidRDefault="00F34B24" w:rsidP="000C1C90">
            <w:pPr>
              <w:spacing w:before="120" w:after="120" w:line="360" w:lineRule="auto"/>
              <w:ind w:left="29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>A projeção dos custos deverá</w:t>
            </w:r>
            <w:r w:rsidR="00217B3E">
              <w:rPr>
                <w:rFonts w:asciiTheme="minorHAnsi" w:hAnsiTheme="minorHAnsi"/>
                <w:sz w:val="22"/>
                <w:szCs w:val="22"/>
              </w:rPr>
              <w:t>:</w:t>
            </w:r>
          </w:p>
          <w:p w14:paraId="4ED00AEC" w14:textId="77777777" w:rsidR="00F34B24" w:rsidRDefault="00217B3E" w:rsidP="00305028">
            <w:pPr>
              <w:pStyle w:val="PargrafodaLista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250AAD">
              <w:rPr>
                <w:rFonts w:asciiTheme="minorHAnsi" w:hAnsiTheme="minorHAnsi"/>
              </w:rPr>
              <w:t>Ser</w:t>
            </w:r>
            <w:r w:rsidR="00F34B24" w:rsidRPr="002A539E">
              <w:rPr>
                <w:rFonts w:asciiTheme="minorHAnsi" w:hAnsiTheme="minorHAnsi"/>
              </w:rPr>
              <w:t xml:space="preserve"> suportada pelos custos históricos, devendo estar suficientemente documentados os pressupostos utilizados, tendo por base os respetivos apuramentos contabilísticos separados da Contabilidade Geral e Analítica, podendo ser comprovados e auditados.</w:t>
            </w:r>
          </w:p>
          <w:p w14:paraId="1E3FD3CE" w14:textId="77777777" w:rsidR="00217B3E" w:rsidRPr="00217B3E" w:rsidRDefault="00217B3E" w:rsidP="00480BED">
            <w:pPr>
              <w:pStyle w:val="PargrafodaLista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217B3E">
              <w:rPr>
                <w:rFonts w:asciiTheme="minorHAnsi" w:hAnsiTheme="minorHAnsi"/>
              </w:rPr>
              <w:t xml:space="preserve">Sempre que a projeção de </w:t>
            </w:r>
            <w:r>
              <w:rPr>
                <w:rFonts w:asciiTheme="minorHAnsi" w:hAnsiTheme="minorHAnsi"/>
              </w:rPr>
              <w:t xml:space="preserve">custos </w:t>
            </w:r>
            <w:r w:rsidRPr="00217B3E">
              <w:rPr>
                <w:rFonts w:asciiTheme="minorHAnsi" w:hAnsiTheme="minorHAnsi"/>
              </w:rPr>
              <w:t xml:space="preserve">estiver dependente </w:t>
            </w:r>
            <w:r>
              <w:rPr>
                <w:rFonts w:asciiTheme="minorHAnsi" w:hAnsiTheme="minorHAnsi"/>
              </w:rPr>
              <w:t xml:space="preserve">da </w:t>
            </w:r>
            <w:r w:rsidRPr="00217B3E">
              <w:rPr>
                <w:rFonts w:asciiTheme="minorHAnsi" w:hAnsiTheme="minorHAnsi"/>
              </w:rPr>
              <w:t xml:space="preserve">variação dos indicadores demográficos da região abrangida pelo </w:t>
            </w:r>
            <w:r w:rsidR="00C76A56">
              <w:rPr>
                <w:rFonts w:asciiTheme="minorHAnsi" w:hAnsiTheme="minorHAnsi"/>
              </w:rPr>
              <w:t>investimento,</w:t>
            </w:r>
            <w:r w:rsidRPr="00217B3E">
              <w:rPr>
                <w:rFonts w:asciiTheme="minorHAnsi" w:hAnsiTheme="minorHAnsi"/>
              </w:rPr>
              <w:t xml:space="preserve"> os dados que suportam a análise financeira apenas serão </w:t>
            </w:r>
            <w:r w:rsidRPr="00217B3E">
              <w:rPr>
                <w:rFonts w:asciiTheme="minorHAnsi" w:hAnsiTheme="minorHAnsi"/>
              </w:rPr>
              <w:lastRenderedPageBreak/>
              <w:t>aceites com base em projeções oficiais conhecidas.</w:t>
            </w:r>
          </w:p>
          <w:p w14:paraId="11AD5809" w14:textId="77777777" w:rsidR="00F34B24" w:rsidRPr="002A539E" w:rsidRDefault="00F34B24" w:rsidP="00305028">
            <w:pPr>
              <w:pStyle w:val="PargrafodaLista"/>
              <w:numPr>
                <w:ilvl w:val="0"/>
                <w:numId w:val="33"/>
              </w:numPr>
              <w:spacing w:before="120" w:after="120" w:line="360" w:lineRule="auto"/>
              <w:jc w:val="both"/>
              <w:rPr>
                <w:rFonts w:asciiTheme="minorHAnsi" w:hAnsiTheme="minorHAnsi"/>
              </w:rPr>
            </w:pPr>
            <w:r w:rsidRPr="002A539E">
              <w:rPr>
                <w:rFonts w:asciiTheme="minorHAnsi" w:hAnsiTheme="minorHAnsi"/>
              </w:rPr>
              <w:t>Todos os custos terão que ser comprovadamente incrementais e possuir uma ligação clara e inequívoca ao acréscimo de exploração decorrente do investimento. Esta evidência deverá ser fornecida pelo beneficiário na Memória Descritiva do EVF.</w:t>
            </w:r>
          </w:p>
        </w:tc>
      </w:tr>
    </w:tbl>
    <w:p w14:paraId="099C33DD" w14:textId="77777777" w:rsidR="00BA4B36" w:rsidRDefault="00BA4B36" w:rsidP="00024BDA">
      <w:pPr>
        <w:tabs>
          <w:tab w:val="left" w:pos="1134"/>
          <w:tab w:val="left" w:pos="1843"/>
        </w:tabs>
        <w:spacing w:before="120" w:after="120" w:line="360" w:lineRule="auto"/>
        <w:ind w:left="0"/>
        <w:outlineLvl w:val="0"/>
        <w:rPr>
          <w:rFonts w:asciiTheme="minorHAnsi" w:eastAsia="Calibri" w:hAnsiTheme="minorHAnsi"/>
          <w:b/>
          <w:color w:val="4BACC6" w:themeColor="accent5"/>
          <w:spacing w:val="0"/>
          <w:sz w:val="22"/>
          <w:szCs w:val="22"/>
          <w:u w:val="single"/>
        </w:rPr>
      </w:pPr>
      <w:bookmarkStart w:id="75" w:name="_Toc430341679"/>
    </w:p>
    <w:p w14:paraId="487E4D4C" w14:textId="77777777" w:rsidR="00F34B24" w:rsidRPr="009D51E4" w:rsidRDefault="00F34B24" w:rsidP="009D51E4">
      <w:pPr>
        <w:spacing w:line="360" w:lineRule="auto"/>
        <w:ind w:left="833" w:hanging="833"/>
        <w:rPr>
          <w:rFonts w:asciiTheme="minorHAnsi" w:eastAsia="Calibri" w:hAnsiTheme="minorHAnsi"/>
          <w:b/>
          <w:color w:val="4BACC6" w:themeColor="accent5"/>
          <w:sz w:val="22"/>
          <w:szCs w:val="22"/>
          <w:u w:val="single"/>
        </w:rPr>
      </w:pPr>
      <w:bookmarkStart w:id="76" w:name="_Toc464481584"/>
      <w:bookmarkStart w:id="77" w:name="_Toc464485178"/>
      <w:r w:rsidRPr="009D51E4">
        <w:rPr>
          <w:rFonts w:asciiTheme="minorHAnsi" w:eastAsia="Calibri" w:hAnsiTheme="minorHAnsi"/>
          <w:b/>
          <w:color w:val="4BACC6" w:themeColor="accent5"/>
          <w:sz w:val="22"/>
          <w:szCs w:val="22"/>
          <w:u w:val="single"/>
        </w:rPr>
        <w:t>Valor Residual</w:t>
      </w:r>
      <w:bookmarkEnd w:id="75"/>
      <w:bookmarkEnd w:id="76"/>
      <w:bookmarkEnd w:id="77"/>
    </w:p>
    <w:p w14:paraId="3068364D" w14:textId="77777777" w:rsidR="007B57FD" w:rsidRDefault="00024BDA" w:rsidP="00F34B24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Em sede de análise financeira</w:t>
      </w:r>
      <w:r w:rsidR="00F34B24" w:rsidRPr="000120EA">
        <w:rPr>
          <w:rFonts w:asciiTheme="minorHAnsi" w:hAnsiTheme="minorHAnsi"/>
          <w:sz w:val="22"/>
          <w:szCs w:val="22"/>
        </w:rPr>
        <w:t xml:space="preserve"> </w:t>
      </w:r>
      <w:r w:rsidR="00F34B24" w:rsidRPr="000120EA">
        <w:rPr>
          <w:rFonts w:asciiTheme="minorHAnsi" w:hAnsiTheme="minorHAnsi"/>
          <w:sz w:val="22"/>
          <w:szCs w:val="22"/>
          <w:u w:val="single"/>
        </w:rPr>
        <w:t xml:space="preserve">deve ser tido em conta o valor residual dos investimentos em ativos fixos no final do período de referência, o qual deve ser determinado pelo </w:t>
      </w:r>
      <w:r w:rsidR="00F34B24" w:rsidRPr="000120EA">
        <w:rPr>
          <w:rFonts w:asciiTheme="minorHAnsi" w:hAnsiTheme="minorHAnsi"/>
          <w:i/>
          <w:sz w:val="22"/>
          <w:szCs w:val="22"/>
          <w:u w:val="single"/>
        </w:rPr>
        <w:t>“cálculo do valor líquido corrente dos fluxos de tesouraria nos anos de vida útil remanescentes dos investimentos da operação”</w:t>
      </w:r>
      <w:r w:rsidR="00095A7D">
        <w:rPr>
          <w:rStyle w:val="Refdenotaderodap"/>
          <w:rFonts w:asciiTheme="minorHAnsi" w:hAnsiTheme="minorHAnsi"/>
          <w:i/>
          <w:sz w:val="22"/>
          <w:szCs w:val="22"/>
          <w:u w:val="single"/>
        </w:rPr>
        <w:footnoteReference w:id="5"/>
      </w:r>
      <w:r w:rsidR="00F34B24" w:rsidRPr="000120EA">
        <w:rPr>
          <w:rFonts w:asciiTheme="minorHAnsi" w:hAnsiTheme="minorHAnsi"/>
          <w:sz w:val="22"/>
          <w:szCs w:val="22"/>
          <w:u w:val="single"/>
        </w:rPr>
        <w:t xml:space="preserve"> </w:t>
      </w:r>
      <w:r w:rsidR="00916576">
        <w:rPr>
          <w:rFonts w:asciiTheme="minorHAnsi" w:hAnsiTheme="minorHAnsi"/>
          <w:sz w:val="22"/>
          <w:szCs w:val="22"/>
          <w:u w:val="single"/>
        </w:rPr>
        <w:t>,</w:t>
      </w:r>
      <w:proofErr w:type="gramStart"/>
      <w:r w:rsidR="00CF77C1">
        <w:rPr>
          <w:rFonts w:asciiTheme="minorHAnsi" w:hAnsiTheme="minorHAnsi"/>
          <w:sz w:val="22"/>
          <w:szCs w:val="22"/>
          <w:u w:val="single"/>
        </w:rPr>
        <w:t>considerando</w:t>
      </w:r>
      <w:proofErr w:type="gramEnd"/>
      <w:r w:rsidR="00CF77C1">
        <w:rPr>
          <w:rFonts w:asciiTheme="minorHAnsi" w:hAnsiTheme="minorHAnsi"/>
          <w:sz w:val="22"/>
          <w:szCs w:val="22"/>
          <w:u w:val="single"/>
        </w:rPr>
        <w:t xml:space="preserve"> os</w:t>
      </w:r>
      <w:r w:rsidR="00E464D1">
        <w:rPr>
          <w:rFonts w:asciiTheme="minorHAnsi" w:hAnsiTheme="minorHAnsi"/>
          <w:sz w:val="22"/>
          <w:szCs w:val="22"/>
          <w:u w:val="single"/>
        </w:rPr>
        <w:t xml:space="preserve"> </w:t>
      </w:r>
      <w:r w:rsidR="00F34B24" w:rsidRPr="000120EA">
        <w:rPr>
          <w:rFonts w:asciiTheme="minorHAnsi" w:hAnsiTheme="minorHAnsi"/>
          <w:sz w:val="22"/>
          <w:szCs w:val="22"/>
          <w:u w:val="single"/>
        </w:rPr>
        <w:t>investimentos de substituição realizados no período de referência</w:t>
      </w:r>
      <w:r w:rsidR="00F34B24" w:rsidRPr="000120EA">
        <w:rPr>
          <w:rFonts w:asciiTheme="minorHAnsi" w:hAnsiTheme="minorHAnsi"/>
          <w:sz w:val="22"/>
          <w:szCs w:val="22"/>
        </w:rPr>
        <w:t xml:space="preserve">, de acordo com o nº. 1 </w:t>
      </w:r>
      <w:proofErr w:type="gramStart"/>
      <w:r w:rsidR="00F34B24" w:rsidRPr="000120EA">
        <w:rPr>
          <w:rFonts w:asciiTheme="minorHAnsi" w:hAnsiTheme="minorHAnsi"/>
          <w:sz w:val="22"/>
          <w:szCs w:val="22"/>
        </w:rPr>
        <w:t>do</w:t>
      </w:r>
      <w:proofErr w:type="gramEnd"/>
      <w:r w:rsidR="00F34B24" w:rsidRPr="000120EA">
        <w:rPr>
          <w:rFonts w:asciiTheme="minorHAnsi" w:hAnsiTheme="minorHAnsi"/>
          <w:sz w:val="22"/>
          <w:szCs w:val="22"/>
        </w:rPr>
        <w:t xml:space="preserve"> artigo 18º do Regulamento Delegado (UE) nº. 480/2014</w:t>
      </w:r>
      <w:r w:rsidR="007B57FD">
        <w:rPr>
          <w:rFonts w:asciiTheme="minorHAnsi" w:hAnsiTheme="minorHAnsi"/>
          <w:sz w:val="22"/>
          <w:szCs w:val="22"/>
        </w:rPr>
        <w:t>.</w:t>
      </w:r>
    </w:p>
    <w:p w14:paraId="28F7EBB6" w14:textId="77777777" w:rsidR="00F34B24" w:rsidRPr="000120EA" w:rsidRDefault="00F34B24" w:rsidP="00F34B24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 w:rsidRPr="000120EA">
        <w:rPr>
          <w:rFonts w:asciiTheme="minorHAnsi" w:hAnsiTheme="minorHAnsi"/>
          <w:sz w:val="22"/>
          <w:szCs w:val="22"/>
        </w:rPr>
        <w:t>Deste modo, os anos de vida remanescentes à operação são computados pela diferença entre o período de referência e a vida útil das infraestruturas e equipamentos que fazem parte do projeto de investimento</w:t>
      </w:r>
      <w:r w:rsidR="007B57FD">
        <w:rPr>
          <w:rStyle w:val="Refdenotaderodap"/>
          <w:rFonts w:asciiTheme="minorHAnsi" w:hAnsiTheme="minorHAnsi"/>
          <w:sz w:val="22"/>
          <w:szCs w:val="22"/>
        </w:rPr>
        <w:footnoteReference w:id="6"/>
      </w:r>
      <w:r w:rsidR="007B57FD" w:rsidRPr="000120EA">
        <w:rPr>
          <w:rFonts w:asciiTheme="minorHAnsi" w:hAnsiTheme="minorHAnsi"/>
          <w:sz w:val="22"/>
          <w:szCs w:val="22"/>
        </w:rPr>
        <w:t>.</w:t>
      </w:r>
    </w:p>
    <w:tbl>
      <w:tblPr>
        <w:tblStyle w:val="Tabelacomgrelha"/>
        <w:tblW w:w="10002" w:type="dxa"/>
        <w:tblInd w:w="29" w:type="dxa"/>
        <w:shd w:val="clear" w:color="auto" w:fill="F4E62C"/>
        <w:tblLook w:val="04A0" w:firstRow="1" w:lastRow="0" w:firstColumn="1" w:lastColumn="0" w:noHBand="0" w:noVBand="1"/>
      </w:tblPr>
      <w:tblGrid>
        <w:gridCol w:w="10002"/>
      </w:tblGrid>
      <w:tr w:rsidR="00F34B24" w:rsidRPr="000120EA" w14:paraId="0D959401" w14:textId="77777777" w:rsidTr="000C1C90">
        <w:tc>
          <w:tcPr>
            <w:tcW w:w="10002" w:type="dxa"/>
            <w:shd w:val="clear" w:color="auto" w:fill="F4E62C"/>
          </w:tcPr>
          <w:p w14:paraId="4A1A6063" w14:textId="77777777" w:rsidR="00F34B24" w:rsidRPr="000120EA" w:rsidRDefault="00F34B24" w:rsidP="000C1C90">
            <w:pPr>
              <w:spacing w:before="120" w:after="120" w:line="360" w:lineRule="auto"/>
              <w:ind w:left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 xml:space="preserve">Para efeito do apuramento do défice de financiamento da operação, deve ser ter tido em conta o valor residual do investimento no final do período de referência do estudo, calculado pelo </w:t>
            </w:r>
            <w:r w:rsidRPr="000120EA">
              <w:rPr>
                <w:rFonts w:asciiTheme="minorHAnsi" w:hAnsiTheme="minorHAnsi"/>
                <w:sz w:val="22"/>
                <w:szCs w:val="22"/>
                <w:u w:val="single"/>
              </w:rPr>
              <w:t xml:space="preserve">método dos </w:t>
            </w:r>
            <w:r w:rsidRPr="000120EA">
              <w:rPr>
                <w:rFonts w:asciiTheme="minorHAnsi" w:hAnsiTheme="minorHAnsi"/>
                <w:i/>
                <w:sz w:val="22"/>
                <w:szCs w:val="22"/>
                <w:u w:val="single"/>
              </w:rPr>
              <w:t>cash-flows</w:t>
            </w:r>
            <w:r w:rsidRPr="000120EA">
              <w:rPr>
                <w:rFonts w:asciiTheme="minorHAnsi" w:hAnsiTheme="minorHAnsi"/>
                <w:sz w:val="22"/>
                <w:szCs w:val="22"/>
                <w:u w:val="single"/>
              </w:rPr>
              <w:t xml:space="preserve"> atualizados</w:t>
            </w:r>
            <w:r w:rsidRPr="000120EA">
              <w:rPr>
                <w:rFonts w:asciiTheme="minorHAnsi" w:hAnsiTheme="minorHAnsi"/>
                <w:sz w:val="22"/>
                <w:szCs w:val="22"/>
              </w:rPr>
              <w:t xml:space="preserve"> (valor atualizado das receitas líquidas nos restantes anos de vida útil que excedem o período de referência). O valor residual é considerado um </w:t>
            </w:r>
            <w:proofErr w:type="spellStart"/>
            <w:r w:rsidRPr="000120EA">
              <w:rPr>
                <w:rFonts w:asciiTheme="minorHAnsi" w:hAnsiTheme="minorHAnsi"/>
                <w:i/>
                <w:sz w:val="22"/>
                <w:szCs w:val="22"/>
              </w:rPr>
              <w:t>inflow</w:t>
            </w:r>
            <w:proofErr w:type="spellEnd"/>
            <w:r w:rsidRPr="000120EA">
              <w:rPr>
                <w:rFonts w:asciiTheme="minorHAnsi" w:hAnsiTheme="minorHAnsi"/>
                <w:sz w:val="22"/>
                <w:szCs w:val="22"/>
              </w:rPr>
              <w:t>, pelo que é uma componente positiva que entra para o apuramento das receitas líquidas da operação.</w:t>
            </w:r>
          </w:p>
          <w:p w14:paraId="70F08370" w14:textId="77777777" w:rsidR="00250AAD" w:rsidRDefault="00F34B24" w:rsidP="000C1C90">
            <w:pPr>
              <w:spacing w:before="120" w:after="120" w:line="360" w:lineRule="auto"/>
              <w:ind w:left="29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 xml:space="preserve">Para </w:t>
            </w:r>
            <w:r w:rsidR="00C76A56">
              <w:rPr>
                <w:rFonts w:asciiTheme="minorHAnsi" w:hAnsiTheme="minorHAnsi"/>
                <w:sz w:val="22"/>
                <w:szCs w:val="22"/>
              </w:rPr>
              <w:t>este cálculo</w:t>
            </w:r>
            <w:r w:rsidRPr="000120E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76A56">
              <w:rPr>
                <w:rFonts w:asciiTheme="minorHAnsi" w:hAnsiTheme="minorHAnsi"/>
                <w:sz w:val="22"/>
                <w:szCs w:val="22"/>
              </w:rPr>
              <w:t>considera-se</w:t>
            </w:r>
            <w:r w:rsidRPr="000120EA">
              <w:rPr>
                <w:rFonts w:asciiTheme="minorHAnsi" w:hAnsiTheme="minorHAnsi"/>
                <w:sz w:val="22"/>
                <w:szCs w:val="22"/>
              </w:rPr>
              <w:t xml:space="preserve"> o número de anos de vida útil económica dos investimentos em capital fixo, designadamente construção e equipamento</w:t>
            </w:r>
            <w:r w:rsidR="00CB11C0" w:rsidRPr="00C127D3">
              <w:rPr>
                <w:rFonts w:asciiTheme="minorHAnsi" w:hAnsiTheme="minorHAnsi"/>
                <w:sz w:val="22"/>
                <w:szCs w:val="22"/>
              </w:rPr>
              <w:t>, relevando desta forma a capacidade d</w:t>
            </w:r>
            <w:r w:rsidR="00C76A56">
              <w:rPr>
                <w:rFonts w:asciiTheme="minorHAnsi" w:hAnsiTheme="minorHAnsi"/>
                <w:sz w:val="22"/>
                <w:szCs w:val="22"/>
              </w:rPr>
              <w:t>a operação</w:t>
            </w:r>
            <w:r w:rsidR="00CB11C0" w:rsidRPr="00C127D3">
              <w:rPr>
                <w:rFonts w:asciiTheme="minorHAnsi" w:hAnsiTheme="minorHAnsi"/>
                <w:sz w:val="22"/>
                <w:szCs w:val="22"/>
              </w:rPr>
              <w:t xml:space="preserve"> gerar rendimento líquido </w:t>
            </w:r>
            <w:r w:rsidR="00C76A56">
              <w:rPr>
                <w:rFonts w:asciiTheme="minorHAnsi" w:hAnsiTheme="minorHAnsi"/>
                <w:sz w:val="22"/>
                <w:szCs w:val="22"/>
              </w:rPr>
              <w:t>após o período de referência até ao término da vida útil do investimento</w:t>
            </w:r>
            <w:r w:rsidR="00CB11C0" w:rsidRPr="00C127D3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55EF58D8" w14:textId="77777777" w:rsidR="00F33375" w:rsidRDefault="00F33375">
            <w:pPr>
              <w:spacing w:before="120" w:after="120" w:line="360" w:lineRule="auto"/>
              <w:ind w:left="29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33375">
              <w:rPr>
                <w:rFonts w:asciiTheme="minorHAnsi" w:hAnsiTheme="minorHAnsi"/>
                <w:sz w:val="22"/>
                <w:szCs w:val="22"/>
              </w:rPr>
              <w:t>A vida útil económica é definida pelo período entre a aquisição e o tempo em que</w:t>
            </w:r>
            <w:r w:rsidR="00CF77C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33375">
              <w:rPr>
                <w:rFonts w:asciiTheme="minorHAnsi" w:hAnsiTheme="minorHAnsi"/>
                <w:sz w:val="22"/>
                <w:szCs w:val="22"/>
              </w:rPr>
              <w:t>o</w:t>
            </w:r>
            <w:r w:rsidR="001E6013">
              <w:rPr>
                <w:rFonts w:asciiTheme="minorHAnsi" w:hAnsiTheme="minorHAnsi"/>
                <w:sz w:val="22"/>
                <w:szCs w:val="22"/>
              </w:rPr>
              <w:t xml:space="preserve"> ativo</w:t>
            </w:r>
            <w:r w:rsidRPr="00F33375">
              <w:rPr>
                <w:rFonts w:asciiTheme="minorHAnsi" w:hAnsiTheme="minorHAnsi"/>
                <w:sz w:val="22"/>
                <w:szCs w:val="22"/>
              </w:rPr>
              <w:t>, apesar de fisicamente ainda capacitado para fornecer o serviço, já</w:t>
            </w:r>
            <w:r w:rsidR="00CF77C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F33375">
              <w:rPr>
                <w:rFonts w:asciiTheme="minorHAnsi" w:hAnsiTheme="minorHAnsi"/>
                <w:sz w:val="22"/>
                <w:szCs w:val="22"/>
              </w:rPr>
              <w:t>não constitui a opção de menor custo para satisfazer os requisitos de desempenho</w:t>
            </w:r>
            <w:r w:rsidR="00CF77C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1E6013">
              <w:rPr>
                <w:rFonts w:asciiTheme="minorHAnsi" w:hAnsiTheme="minorHAnsi"/>
                <w:sz w:val="22"/>
                <w:szCs w:val="22"/>
              </w:rPr>
              <w:t>pretendidos.</w:t>
            </w:r>
          </w:p>
          <w:p w14:paraId="5A304BBB" w14:textId="77777777" w:rsidR="001E6013" w:rsidRDefault="001E6013">
            <w:pPr>
              <w:spacing w:before="120" w:after="120" w:line="360" w:lineRule="auto"/>
              <w:ind w:left="29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A determinação da vida útil económica dos ativos que integram o investimento depende, contudo, de fatores diversos como seja a respetiva política de utilização, </w:t>
            </w:r>
            <w:r w:rsidRPr="00250AAD">
              <w:rPr>
                <w:rFonts w:asciiTheme="minorHAnsi" w:hAnsiTheme="minorHAnsi"/>
                <w:sz w:val="22"/>
                <w:szCs w:val="22"/>
              </w:rPr>
              <w:t>os limites legais (ou outros) de utilização do be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m, </w:t>
            </w:r>
            <w:r w:rsidRPr="00250AAD">
              <w:rPr>
                <w:rFonts w:asciiTheme="minorHAnsi" w:hAnsiTheme="minorHAnsi"/>
                <w:sz w:val="22"/>
                <w:szCs w:val="22"/>
              </w:rPr>
              <w:t>a obsolescência técnica ou comercia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l, </w:t>
            </w:r>
            <w:r w:rsidRPr="00250AAD">
              <w:rPr>
                <w:rFonts w:asciiTheme="minorHAnsi" w:hAnsiTheme="minorHAnsi"/>
                <w:sz w:val="22"/>
                <w:szCs w:val="22"/>
              </w:rPr>
              <w:t>o desgaste de utilização do bem (por exemplo considerando 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250AAD">
              <w:rPr>
                <w:rFonts w:asciiTheme="minorHAnsi" w:hAnsiTheme="minorHAnsi"/>
                <w:sz w:val="22"/>
                <w:szCs w:val="22"/>
              </w:rPr>
              <w:t>número de turnos dura</w:t>
            </w:r>
            <w:r>
              <w:rPr>
                <w:rFonts w:asciiTheme="minorHAnsi" w:hAnsiTheme="minorHAnsi"/>
                <w:sz w:val="22"/>
                <w:szCs w:val="22"/>
              </w:rPr>
              <w:t>nte os quais o bem é utilizado), etc.</w:t>
            </w:r>
          </w:p>
          <w:p w14:paraId="09D6290B" w14:textId="77777777" w:rsidR="00250AAD" w:rsidRPr="00250AAD" w:rsidRDefault="001E6013">
            <w:pPr>
              <w:spacing w:before="120" w:after="120" w:line="360" w:lineRule="auto"/>
              <w:ind w:left="29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Neste sentido, cabe à entidade responsável pela gestão do investimento </w:t>
            </w:r>
            <w:r w:rsidRPr="00250AAD">
              <w:rPr>
                <w:rFonts w:asciiTheme="minorHAnsi" w:hAnsiTheme="minorHAnsi"/>
                <w:sz w:val="22"/>
                <w:szCs w:val="22"/>
              </w:rPr>
              <w:t>efetuar</w:t>
            </w:r>
            <w:r w:rsidR="00250AAD" w:rsidRPr="00250AAD">
              <w:rPr>
                <w:rFonts w:asciiTheme="minorHAnsi" w:hAnsiTheme="minorHAnsi"/>
                <w:sz w:val="22"/>
                <w:szCs w:val="22"/>
              </w:rPr>
              <w:t xml:space="preserve"> uma estimativa da vida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útil dos ativos subjacentes ao investimento</w:t>
            </w:r>
            <w:r w:rsidR="00C127D3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tendo por base a </w:t>
            </w:r>
            <w:r w:rsidR="00250AAD" w:rsidRPr="00250AAD">
              <w:rPr>
                <w:rFonts w:asciiTheme="minorHAnsi" w:hAnsiTheme="minorHAnsi"/>
                <w:sz w:val="22"/>
                <w:szCs w:val="22"/>
              </w:rPr>
              <w:t xml:space="preserve">experiência com </w:t>
            </w:r>
            <w:r w:rsidRPr="00250AAD">
              <w:rPr>
                <w:rFonts w:asciiTheme="minorHAnsi" w:hAnsiTheme="minorHAnsi"/>
                <w:sz w:val="22"/>
                <w:szCs w:val="22"/>
              </w:rPr>
              <w:t>ativos</w:t>
            </w:r>
            <w:r w:rsidR="00250AAD" w:rsidRPr="00250AAD">
              <w:rPr>
                <w:rFonts w:asciiTheme="minorHAnsi" w:hAnsiTheme="minorHAnsi"/>
                <w:sz w:val="22"/>
                <w:szCs w:val="22"/>
              </w:rPr>
              <w:t xml:space="preserve"> semelhantes. </w:t>
            </w:r>
            <w:r w:rsidRPr="000120EA">
              <w:rPr>
                <w:rFonts w:asciiTheme="minorHAnsi" w:hAnsiTheme="minorHAnsi"/>
                <w:sz w:val="22"/>
                <w:szCs w:val="22"/>
              </w:rPr>
              <w:t>A vida útil a considerar deverá ser suportada em informação técnica específica, de acordo com os indicadores e as melhores práticas do setor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7F131E1" w14:textId="77777777" w:rsidR="00C127D3" w:rsidRPr="00C127D3" w:rsidRDefault="00275CDE">
            <w:pPr>
              <w:spacing w:before="120" w:after="120" w:line="360" w:lineRule="auto"/>
              <w:ind w:left="29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Sempre que a fundamentação da vida útil económica não seja possível, </w:t>
            </w:r>
            <w:r w:rsidR="00CB11C0">
              <w:rPr>
                <w:rFonts w:asciiTheme="minorHAnsi" w:hAnsiTheme="minorHAnsi"/>
                <w:sz w:val="22"/>
                <w:szCs w:val="22"/>
              </w:rPr>
              <w:t>deve ser disponibilizado</w:t>
            </w:r>
            <w:r w:rsidR="00480BED">
              <w:rPr>
                <w:rFonts w:asciiTheme="minorHAnsi" w:hAnsiTheme="minorHAnsi"/>
                <w:sz w:val="22"/>
                <w:szCs w:val="22"/>
              </w:rPr>
              <w:t>,</w:t>
            </w:r>
            <w:r w:rsidR="00CB11C0">
              <w:rPr>
                <w:rFonts w:asciiTheme="minorHAnsi" w:hAnsiTheme="minorHAnsi"/>
                <w:sz w:val="22"/>
                <w:szCs w:val="22"/>
              </w:rPr>
              <w:t xml:space="preserve"> e adequadamente suportado</w:t>
            </w:r>
            <w:r w:rsidR="00480BED">
              <w:rPr>
                <w:rFonts w:asciiTheme="minorHAnsi" w:hAnsiTheme="minorHAnsi"/>
                <w:sz w:val="22"/>
                <w:szCs w:val="22"/>
              </w:rPr>
              <w:t>,</w:t>
            </w:r>
            <w:r w:rsidR="00CB11C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127D3" w:rsidRPr="00C127D3">
              <w:rPr>
                <w:rFonts w:asciiTheme="minorHAnsi" w:hAnsiTheme="minorHAnsi"/>
                <w:sz w:val="22"/>
                <w:szCs w:val="22"/>
              </w:rPr>
              <w:t xml:space="preserve">enquadramento em termos da longevidade técnica dos ativos a cofinanciar, </w:t>
            </w:r>
            <w:r w:rsidR="00FA7E77">
              <w:rPr>
                <w:rFonts w:asciiTheme="minorHAnsi" w:hAnsiTheme="minorHAnsi"/>
                <w:sz w:val="22"/>
                <w:szCs w:val="22"/>
              </w:rPr>
              <w:t>a</w:t>
            </w:r>
            <w:r w:rsidR="00C127D3" w:rsidRPr="00C127D3">
              <w:rPr>
                <w:rFonts w:asciiTheme="minorHAnsi" w:hAnsiTheme="minorHAnsi"/>
                <w:sz w:val="22"/>
                <w:szCs w:val="22"/>
              </w:rPr>
              <w:t xml:space="preserve"> qual pode ser influenciad</w:t>
            </w:r>
            <w:r w:rsidR="00FA7E77">
              <w:rPr>
                <w:rFonts w:asciiTheme="minorHAnsi" w:hAnsiTheme="minorHAnsi"/>
                <w:sz w:val="22"/>
                <w:szCs w:val="22"/>
              </w:rPr>
              <w:t>a</w:t>
            </w:r>
            <w:r w:rsidR="00C127D3" w:rsidRPr="00C127D3">
              <w:rPr>
                <w:rFonts w:asciiTheme="minorHAnsi" w:hAnsiTheme="minorHAnsi"/>
                <w:sz w:val="22"/>
                <w:szCs w:val="22"/>
              </w:rPr>
              <w:t xml:space="preserve"> por inúmeros aspetos, como sejam a composição dos investimentos em análise e o tipo de materiais/equipamento utilizados, o ciclo de substituição e intensidade de manutenção previstas, etc.</w:t>
            </w:r>
          </w:p>
          <w:p w14:paraId="7B138F5A" w14:textId="77777777" w:rsidR="00CF77C1" w:rsidRDefault="00C127D3">
            <w:pPr>
              <w:spacing w:before="120" w:after="120" w:line="360" w:lineRule="auto"/>
              <w:ind w:left="29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C127D3">
              <w:rPr>
                <w:rFonts w:asciiTheme="minorHAnsi" w:hAnsiTheme="minorHAnsi"/>
                <w:sz w:val="22"/>
                <w:szCs w:val="22"/>
              </w:rPr>
              <w:t>Sempre que um adequado suporte neste contexto não se revel</w:t>
            </w:r>
            <w:r w:rsidR="00CB11C0">
              <w:rPr>
                <w:rFonts w:asciiTheme="minorHAnsi" w:hAnsiTheme="minorHAnsi"/>
                <w:sz w:val="22"/>
                <w:szCs w:val="22"/>
              </w:rPr>
              <w:t>e</w:t>
            </w:r>
            <w:r w:rsidRPr="00C127D3">
              <w:rPr>
                <w:rFonts w:asciiTheme="minorHAnsi" w:hAnsiTheme="minorHAnsi"/>
                <w:sz w:val="22"/>
                <w:szCs w:val="22"/>
              </w:rPr>
              <w:t xml:space="preserve"> possível, </w:t>
            </w:r>
            <w:r w:rsidR="00CB11C0">
              <w:rPr>
                <w:rFonts w:asciiTheme="minorHAnsi" w:hAnsiTheme="minorHAnsi"/>
                <w:sz w:val="22"/>
                <w:szCs w:val="22"/>
              </w:rPr>
              <w:t>ou o mesmo se afigure insuficiente,</w:t>
            </w:r>
            <w:r w:rsidR="00275CDE">
              <w:rPr>
                <w:rFonts w:asciiTheme="minorHAnsi" w:hAnsiTheme="minorHAnsi"/>
                <w:sz w:val="22"/>
                <w:szCs w:val="22"/>
              </w:rPr>
              <w:t xml:space="preserve"> assumir-se-</w:t>
            </w:r>
            <w:r w:rsidR="002A539E">
              <w:rPr>
                <w:rFonts w:asciiTheme="minorHAnsi" w:hAnsiTheme="minorHAnsi"/>
                <w:sz w:val="22"/>
                <w:szCs w:val="22"/>
              </w:rPr>
              <w:t xml:space="preserve">á </w:t>
            </w:r>
            <w:r w:rsidR="00275CDE">
              <w:rPr>
                <w:rFonts w:asciiTheme="minorHAnsi" w:hAnsiTheme="minorHAnsi"/>
                <w:sz w:val="22"/>
                <w:szCs w:val="22"/>
              </w:rPr>
              <w:t xml:space="preserve">a </w:t>
            </w:r>
            <w:r w:rsidR="00CB11C0">
              <w:rPr>
                <w:rFonts w:asciiTheme="minorHAnsi" w:hAnsiTheme="minorHAnsi"/>
                <w:sz w:val="22"/>
                <w:szCs w:val="22"/>
              </w:rPr>
              <w:t xml:space="preserve">vida útil técnica, </w:t>
            </w:r>
            <w:r w:rsidR="00CF77C1" w:rsidRPr="00CF77C1">
              <w:rPr>
                <w:rFonts w:asciiTheme="minorHAnsi" w:hAnsiTheme="minorHAnsi"/>
                <w:sz w:val="22"/>
                <w:szCs w:val="22"/>
              </w:rPr>
              <w:t>corresponde</w:t>
            </w:r>
            <w:r w:rsidR="00275CDE">
              <w:rPr>
                <w:rFonts w:asciiTheme="minorHAnsi" w:hAnsiTheme="minorHAnsi"/>
                <w:sz w:val="22"/>
                <w:szCs w:val="22"/>
              </w:rPr>
              <w:t>nte</w:t>
            </w:r>
            <w:r w:rsidR="00CF77C1" w:rsidRPr="00CF77C1">
              <w:rPr>
                <w:rFonts w:asciiTheme="minorHAnsi" w:hAnsiTheme="minorHAnsi"/>
                <w:sz w:val="22"/>
                <w:szCs w:val="22"/>
              </w:rPr>
              <w:t xml:space="preserve"> ao período</w:t>
            </w:r>
            <w:r w:rsidR="00CB11C0">
              <w:rPr>
                <w:rFonts w:asciiTheme="minorHAnsi" w:hAnsiTheme="minorHAnsi"/>
                <w:sz w:val="22"/>
                <w:szCs w:val="22"/>
              </w:rPr>
              <w:t>,</w:t>
            </w:r>
            <w:r w:rsidR="00CF77C1" w:rsidRPr="00CF77C1">
              <w:rPr>
                <w:rFonts w:asciiTheme="minorHAnsi" w:hAnsiTheme="minorHAnsi"/>
                <w:sz w:val="22"/>
                <w:szCs w:val="22"/>
              </w:rPr>
              <w:t xml:space="preserve"> apó</w:t>
            </w:r>
            <w:r w:rsidR="001E6013">
              <w:rPr>
                <w:rFonts w:asciiTheme="minorHAnsi" w:hAnsiTheme="minorHAnsi"/>
                <w:sz w:val="22"/>
                <w:szCs w:val="22"/>
              </w:rPr>
              <w:t>s a instalação</w:t>
            </w:r>
            <w:r w:rsidR="00CB11C0">
              <w:rPr>
                <w:rFonts w:asciiTheme="minorHAnsi" w:hAnsiTheme="minorHAnsi"/>
                <w:sz w:val="22"/>
                <w:szCs w:val="22"/>
              </w:rPr>
              <w:t>,</w:t>
            </w:r>
            <w:r w:rsidR="001E6013">
              <w:rPr>
                <w:rFonts w:asciiTheme="minorHAnsi" w:hAnsiTheme="minorHAnsi"/>
                <w:sz w:val="22"/>
                <w:szCs w:val="22"/>
              </w:rPr>
              <w:t xml:space="preserve"> durante o qual o </w:t>
            </w:r>
            <w:r w:rsidR="00CB11C0">
              <w:rPr>
                <w:rFonts w:asciiTheme="minorHAnsi" w:hAnsiTheme="minorHAnsi"/>
                <w:sz w:val="22"/>
                <w:szCs w:val="22"/>
              </w:rPr>
              <w:t>ativo</w:t>
            </w:r>
            <w:r w:rsidR="00CF77C1" w:rsidRPr="00CF77C1">
              <w:rPr>
                <w:rFonts w:asciiTheme="minorHAnsi" w:hAnsiTheme="minorHAnsi"/>
                <w:sz w:val="22"/>
                <w:szCs w:val="22"/>
              </w:rPr>
              <w:t xml:space="preserve"> cumpre a função</w:t>
            </w:r>
            <w:r w:rsidR="00CB11C0">
              <w:rPr>
                <w:rFonts w:asciiTheme="minorHAnsi" w:hAnsiTheme="minorHAnsi"/>
                <w:sz w:val="22"/>
                <w:szCs w:val="22"/>
              </w:rPr>
              <w:t xml:space="preserve"> a que se destina, tendo por base os referenciais existentes.</w:t>
            </w:r>
          </w:p>
          <w:p w14:paraId="386F7166" w14:textId="77777777" w:rsidR="00F34B24" w:rsidRPr="000120EA" w:rsidRDefault="00275CDE" w:rsidP="000C1C90">
            <w:pPr>
              <w:spacing w:before="120" w:after="120" w:line="360" w:lineRule="auto"/>
              <w:ind w:left="29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Relativamente às operações dos sectores do abastecimento e saneamento de água e da gestão de resíduos, os</w:t>
            </w:r>
            <w:r w:rsidR="002A539E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F34B24" w:rsidRPr="000120EA">
              <w:rPr>
                <w:rFonts w:asciiTheme="minorHAnsi" w:hAnsiTheme="minorHAnsi"/>
                <w:sz w:val="22"/>
                <w:szCs w:val="22"/>
              </w:rPr>
              <w:t>Guias Técnicos publicados pela Entidade Reguladora dos Serviços de Água e Resíduos (ERSAR)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dão enquadramento aos períodos de vida útil técnica a assumir</w:t>
            </w:r>
            <w:r w:rsidR="00F34B24" w:rsidRPr="000120EA">
              <w:rPr>
                <w:rFonts w:asciiTheme="minorHAnsi" w:hAnsiTheme="minorHAnsi"/>
                <w:sz w:val="22"/>
                <w:szCs w:val="22"/>
              </w:rPr>
              <w:t>:</w:t>
            </w:r>
          </w:p>
          <w:p w14:paraId="265E19B8" w14:textId="77777777" w:rsidR="00F34B24" w:rsidRPr="000120EA" w:rsidRDefault="00F34B24" w:rsidP="00305028">
            <w:pPr>
              <w:numPr>
                <w:ilvl w:val="0"/>
                <w:numId w:val="22"/>
              </w:numPr>
              <w:spacing w:before="120" w:after="120" w:line="360" w:lineRule="auto"/>
              <w:ind w:left="880" w:hanging="284"/>
              <w:contextualSpacing/>
              <w:jc w:val="both"/>
              <w:rPr>
                <w:rFonts w:asciiTheme="minorHAnsi" w:eastAsia="Calibri" w:hAnsiTheme="minorHAnsi"/>
                <w:bCs/>
                <w:spacing w:val="0"/>
                <w:sz w:val="22"/>
                <w:szCs w:val="22"/>
              </w:rPr>
            </w:pPr>
            <w:r w:rsidRPr="000120EA">
              <w:rPr>
                <w:rFonts w:asciiTheme="minorHAnsi" w:eastAsia="Calibri" w:hAnsiTheme="minorHAnsi"/>
                <w:bCs/>
                <w:spacing w:val="0"/>
                <w:sz w:val="22"/>
                <w:szCs w:val="22"/>
              </w:rPr>
              <w:t>Guia Técnico 16 – “</w:t>
            </w:r>
            <w:r w:rsidRPr="000120EA">
              <w:rPr>
                <w:rFonts w:asciiTheme="minorHAnsi" w:eastAsia="Calibri" w:hAnsiTheme="minorHAnsi"/>
                <w:bCs/>
                <w:i/>
                <w:spacing w:val="0"/>
                <w:sz w:val="22"/>
                <w:szCs w:val="22"/>
              </w:rPr>
              <w:t>Gestão patrimonial de infraestruturas de abastecimento de água”</w:t>
            </w:r>
          </w:p>
          <w:p w14:paraId="030D5C26" w14:textId="77777777" w:rsidR="00F34B24" w:rsidRPr="000120EA" w:rsidRDefault="00F34B24" w:rsidP="00305028">
            <w:pPr>
              <w:numPr>
                <w:ilvl w:val="0"/>
                <w:numId w:val="22"/>
              </w:numPr>
              <w:spacing w:before="120" w:after="120" w:line="360" w:lineRule="auto"/>
              <w:ind w:left="880" w:hanging="284"/>
              <w:contextualSpacing/>
              <w:jc w:val="both"/>
              <w:rPr>
                <w:rFonts w:asciiTheme="minorHAnsi" w:eastAsia="Calibri" w:hAnsiTheme="minorHAnsi"/>
                <w:bCs/>
                <w:spacing w:val="0"/>
                <w:sz w:val="22"/>
                <w:szCs w:val="22"/>
              </w:rPr>
            </w:pPr>
            <w:r w:rsidRPr="000120EA">
              <w:rPr>
                <w:rFonts w:asciiTheme="minorHAnsi" w:eastAsia="Calibri" w:hAnsiTheme="minorHAnsi"/>
                <w:bCs/>
                <w:spacing w:val="0"/>
                <w:sz w:val="22"/>
                <w:szCs w:val="22"/>
              </w:rPr>
              <w:t xml:space="preserve">Guia Técnico 17 – </w:t>
            </w:r>
            <w:r w:rsidRPr="000120EA">
              <w:rPr>
                <w:rFonts w:asciiTheme="minorHAnsi" w:eastAsia="Calibri" w:hAnsiTheme="minorHAnsi"/>
                <w:bCs/>
                <w:i/>
                <w:spacing w:val="0"/>
                <w:sz w:val="22"/>
                <w:szCs w:val="22"/>
              </w:rPr>
              <w:t>“Gestão patrimonial de infraestruturas de águas residuais e pluviais”</w:t>
            </w:r>
          </w:p>
          <w:p w14:paraId="3294C90A" w14:textId="77777777" w:rsidR="00F34B24" w:rsidRPr="000120EA" w:rsidRDefault="00F34B24" w:rsidP="00305028">
            <w:pPr>
              <w:numPr>
                <w:ilvl w:val="0"/>
                <w:numId w:val="22"/>
              </w:numPr>
              <w:spacing w:before="120" w:after="120" w:line="360" w:lineRule="auto"/>
              <w:ind w:left="880" w:hanging="284"/>
              <w:contextualSpacing/>
              <w:jc w:val="both"/>
              <w:rPr>
                <w:rFonts w:asciiTheme="minorHAnsi" w:eastAsia="Calibri" w:hAnsiTheme="minorHAnsi"/>
                <w:bCs/>
                <w:spacing w:val="0"/>
                <w:sz w:val="22"/>
                <w:szCs w:val="22"/>
              </w:rPr>
            </w:pPr>
            <w:r w:rsidRPr="000120EA">
              <w:rPr>
                <w:rFonts w:asciiTheme="minorHAnsi" w:eastAsia="Calibri" w:hAnsiTheme="minorHAnsi"/>
                <w:bCs/>
                <w:spacing w:val="0"/>
                <w:sz w:val="22"/>
                <w:szCs w:val="22"/>
              </w:rPr>
              <w:t xml:space="preserve">Guia Técnico 18 – </w:t>
            </w:r>
            <w:r w:rsidRPr="000120EA">
              <w:rPr>
                <w:rFonts w:asciiTheme="minorHAnsi" w:eastAsia="Calibri" w:hAnsiTheme="minorHAnsi"/>
                <w:bCs/>
                <w:i/>
                <w:spacing w:val="0"/>
                <w:sz w:val="22"/>
                <w:szCs w:val="22"/>
              </w:rPr>
              <w:t>“Apuramento de custos e proveitos dos serviços de águas e resíduos prestados por entidades gestoras em modelo de gestão direta”</w:t>
            </w:r>
          </w:p>
          <w:p w14:paraId="10F1570F" w14:textId="77777777" w:rsidR="00F34B24" w:rsidRDefault="00F34B24" w:rsidP="000C1C90">
            <w:pPr>
              <w:spacing w:before="120" w:after="120" w:line="360" w:lineRule="auto"/>
              <w:ind w:left="0"/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0120EA">
              <w:rPr>
                <w:rFonts w:asciiTheme="minorHAnsi" w:hAnsiTheme="minorHAnsi"/>
                <w:bCs/>
                <w:sz w:val="22"/>
                <w:szCs w:val="22"/>
              </w:rPr>
              <w:t>Nos restantes setores deverão ser sempre adotadas referências de vida útil publicadas por entidades oficiais e de credibilidade reconhecida. Os períodos de vida útil adotados no EVF têm que ser devidamente justificados e fundamentados, nos termos anteriormente referidos, a constar da Memória Descritiva do EVF.</w:t>
            </w:r>
          </w:p>
          <w:p w14:paraId="15A59D70" w14:textId="77777777" w:rsidR="00C127D3" w:rsidRPr="000120EA" w:rsidRDefault="00CB11C0">
            <w:pPr>
              <w:spacing w:before="120" w:after="120" w:line="360" w:lineRule="auto"/>
              <w:ind w:left="0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sz w:val="22"/>
                <w:szCs w:val="22"/>
              </w:rPr>
              <w:t xml:space="preserve">De referir que, neste âmbito, a </w:t>
            </w:r>
            <w:r w:rsidRPr="00C127D3">
              <w:rPr>
                <w:rFonts w:asciiTheme="minorHAnsi" w:hAnsiTheme="minorHAnsi"/>
                <w:sz w:val="22"/>
                <w:szCs w:val="22"/>
              </w:rPr>
              <w:t>utilização da vida útil contabilística dos investimentos não dá resposta às orientações expressas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</w:tbl>
    <w:p w14:paraId="3E5B9453" w14:textId="77777777" w:rsidR="00BD614E" w:rsidRPr="00BD614E" w:rsidRDefault="00BD614E" w:rsidP="00BD614E">
      <w:pPr>
        <w:tabs>
          <w:tab w:val="left" w:pos="1134"/>
          <w:tab w:val="left" w:pos="1843"/>
        </w:tabs>
        <w:spacing w:before="120" w:after="120" w:line="360" w:lineRule="auto"/>
        <w:ind w:left="0"/>
        <w:outlineLvl w:val="0"/>
        <w:rPr>
          <w:rFonts w:asciiTheme="minorHAnsi" w:eastAsia="Calibri" w:hAnsiTheme="minorHAnsi"/>
          <w:b/>
          <w:spacing w:val="0"/>
          <w:sz w:val="22"/>
          <w:szCs w:val="22"/>
          <w:u w:val="single"/>
        </w:rPr>
      </w:pPr>
    </w:p>
    <w:p w14:paraId="5A560333" w14:textId="77777777" w:rsidR="006136D0" w:rsidRPr="009D51E4" w:rsidRDefault="00F34B24" w:rsidP="009D51E4">
      <w:pPr>
        <w:pStyle w:val="PargrafodaLista"/>
        <w:numPr>
          <w:ilvl w:val="0"/>
          <w:numId w:val="44"/>
        </w:numPr>
        <w:ind w:left="567" w:firstLine="0"/>
        <w:rPr>
          <w:b/>
          <w:color w:val="4BACC6" w:themeColor="accent5"/>
        </w:rPr>
      </w:pPr>
      <w:bookmarkStart w:id="78" w:name="_Toc464481585"/>
      <w:bookmarkStart w:id="79" w:name="_Toc464485179"/>
      <w:r w:rsidRPr="009D51E4">
        <w:rPr>
          <w:b/>
          <w:color w:val="4BACC6" w:themeColor="accent5"/>
        </w:rPr>
        <w:lastRenderedPageBreak/>
        <w:t xml:space="preserve">Cálculo da Receita Líquida Atualizada e </w:t>
      </w:r>
      <w:r w:rsidR="006136D0" w:rsidRPr="009D51E4">
        <w:rPr>
          <w:b/>
          <w:color w:val="4BACC6" w:themeColor="accent5"/>
        </w:rPr>
        <w:t>do Défice de Financiamento</w:t>
      </w:r>
      <w:bookmarkEnd w:id="78"/>
      <w:bookmarkEnd w:id="79"/>
    </w:p>
    <w:p w14:paraId="30C5AD92" w14:textId="77777777" w:rsidR="008D7328" w:rsidRDefault="008D7328" w:rsidP="008D7328">
      <w:pPr>
        <w:autoSpaceDE w:val="0"/>
        <w:autoSpaceDN w:val="0"/>
        <w:adjustRightInd w:val="0"/>
        <w:spacing w:before="120" w:after="120" w:line="360" w:lineRule="auto"/>
        <w:ind w:left="0"/>
        <w:jc w:val="both"/>
        <w:rPr>
          <w:rFonts w:asciiTheme="minorHAnsi" w:eastAsiaTheme="minorHAnsi" w:hAnsiTheme="minorHAnsi" w:cstheme="minorBidi"/>
          <w:spacing w:val="0"/>
          <w:sz w:val="22"/>
          <w:szCs w:val="22"/>
        </w:rPr>
      </w:pPr>
      <w:r>
        <w:rPr>
          <w:rFonts w:asciiTheme="minorHAnsi" w:eastAsiaTheme="minorHAnsi" w:hAnsiTheme="minorHAnsi" w:cstheme="minorBidi"/>
          <w:spacing w:val="0"/>
          <w:sz w:val="22"/>
          <w:szCs w:val="22"/>
        </w:rPr>
        <w:t>O</w:t>
      </w:r>
      <w:r w:rsidRPr="000120EA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 número 2 do artigo 61.º do Regulamento (UE) nº 130</w:t>
      </w:r>
      <w:r>
        <w:rPr>
          <w:rFonts w:asciiTheme="minorHAnsi" w:eastAsiaTheme="minorHAnsi" w:hAnsiTheme="minorHAnsi" w:cstheme="minorBidi"/>
          <w:spacing w:val="0"/>
          <w:sz w:val="22"/>
          <w:szCs w:val="22"/>
        </w:rPr>
        <w:t>3/2013</w:t>
      </w:r>
      <w:proofErr w:type="gramStart"/>
      <w:r w:rsidRPr="000120EA">
        <w:rPr>
          <w:rFonts w:asciiTheme="minorHAnsi" w:eastAsiaTheme="minorHAnsi" w:hAnsiTheme="minorHAnsi" w:cstheme="minorBidi"/>
          <w:spacing w:val="0"/>
          <w:sz w:val="22"/>
          <w:szCs w:val="22"/>
        </w:rPr>
        <w:t>,</w:t>
      </w:r>
      <w:proofErr w:type="gramEnd"/>
      <w:r w:rsidRPr="000120EA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 refere que </w:t>
      </w:r>
      <w:r w:rsidRPr="000120EA">
        <w:rPr>
          <w:rFonts w:asciiTheme="minorHAnsi" w:eastAsiaTheme="minorHAnsi" w:hAnsiTheme="minorHAnsi" w:cstheme="minorBidi"/>
          <w:i/>
          <w:spacing w:val="0"/>
          <w:sz w:val="22"/>
          <w:szCs w:val="22"/>
        </w:rPr>
        <w:t>“A despesa elegível da operação a cofinanciar a partir dos FEEI é reduzida antecipadamente tendo em conta o potencial da operação para gerar receita líquida ao longo de um determinado período de referência que abrange tanto a execução da operação como o pe</w:t>
      </w:r>
      <w:r>
        <w:rPr>
          <w:rFonts w:asciiTheme="minorHAnsi" w:eastAsiaTheme="minorHAnsi" w:hAnsiTheme="minorHAnsi" w:cstheme="minorBidi"/>
          <w:i/>
          <w:spacing w:val="0"/>
          <w:sz w:val="22"/>
          <w:szCs w:val="22"/>
        </w:rPr>
        <w:t>ríodo após a sua conclusão”.</w:t>
      </w:r>
      <w:r w:rsidRPr="003A2A1B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 </w:t>
      </w:r>
    </w:p>
    <w:p w14:paraId="2AA07F0D" w14:textId="77777777" w:rsidR="008D7328" w:rsidRPr="000120EA" w:rsidRDefault="008D7328" w:rsidP="008D7328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 w:rsidRPr="000120EA">
        <w:rPr>
          <w:rFonts w:asciiTheme="minorHAnsi" w:hAnsiTheme="minorHAnsi"/>
          <w:sz w:val="22"/>
          <w:szCs w:val="22"/>
        </w:rPr>
        <w:t xml:space="preserve">O número 1 do artigo 61.º do Regulamento (UE) nº 1303/2013 define como </w:t>
      </w:r>
      <w:r w:rsidRPr="000120EA">
        <w:rPr>
          <w:rFonts w:asciiTheme="minorHAnsi" w:hAnsiTheme="minorHAnsi"/>
          <w:b/>
          <w:sz w:val="22"/>
          <w:szCs w:val="22"/>
          <w:u w:val="single"/>
        </w:rPr>
        <w:t>receita líquida</w:t>
      </w:r>
      <w:r w:rsidRPr="000120EA">
        <w:rPr>
          <w:rFonts w:asciiTheme="minorHAnsi" w:hAnsiTheme="minorHAnsi"/>
          <w:sz w:val="22"/>
          <w:szCs w:val="22"/>
        </w:rPr>
        <w:t>:</w:t>
      </w:r>
    </w:p>
    <w:p w14:paraId="6A36D45C" w14:textId="77777777" w:rsidR="008D7328" w:rsidRPr="000120EA" w:rsidRDefault="008D7328" w:rsidP="008D7328">
      <w:pPr>
        <w:spacing w:before="120" w:after="120" w:line="360" w:lineRule="auto"/>
        <w:ind w:left="426"/>
        <w:jc w:val="both"/>
        <w:rPr>
          <w:rFonts w:asciiTheme="minorHAnsi" w:hAnsiTheme="minorHAnsi"/>
          <w:i/>
          <w:sz w:val="22"/>
          <w:szCs w:val="22"/>
        </w:rPr>
      </w:pPr>
      <w:r w:rsidRPr="000120EA">
        <w:rPr>
          <w:rFonts w:asciiTheme="minorHAnsi" w:hAnsiTheme="minorHAnsi"/>
          <w:i/>
          <w:sz w:val="22"/>
          <w:szCs w:val="22"/>
          <w:u w:val="single"/>
        </w:rPr>
        <w:t>As entradas de caixa pagas diretamente pelos utilizadores por bens ou serviços prestados pela operação</w:t>
      </w:r>
      <w:r w:rsidRPr="000120EA">
        <w:rPr>
          <w:rFonts w:asciiTheme="minorHAnsi" w:hAnsiTheme="minorHAnsi"/>
          <w:sz w:val="22"/>
          <w:szCs w:val="22"/>
        </w:rPr>
        <w:t xml:space="preserve"> subtraídas dos </w:t>
      </w:r>
      <w:r w:rsidRPr="000120EA">
        <w:rPr>
          <w:rFonts w:asciiTheme="minorHAnsi" w:hAnsiTheme="minorHAnsi"/>
          <w:i/>
          <w:sz w:val="22"/>
          <w:szCs w:val="22"/>
          <w:u w:val="single"/>
        </w:rPr>
        <w:t xml:space="preserve">custos operacionais e os custos de substituição de equipamento de vida </w:t>
      </w:r>
      <w:proofErr w:type="gramStart"/>
      <w:r w:rsidRPr="000120EA">
        <w:rPr>
          <w:rFonts w:asciiTheme="minorHAnsi" w:hAnsiTheme="minorHAnsi"/>
          <w:i/>
          <w:sz w:val="22"/>
          <w:szCs w:val="22"/>
          <w:u w:val="single"/>
        </w:rPr>
        <w:t>curta incorridos</w:t>
      </w:r>
      <w:proofErr w:type="gramEnd"/>
      <w:r w:rsidRPr="000120EA">
        <w:rPr>
          <w:rFonts w:asciiTheme="minorHAnsi" w:hAnsiTheme="minorHAnsi"/>
          <w:i/>
          <w:sz w:val="22"/>
          <w:szCs w:val="22"/>
          <w:u w:val="single"/>
        </w:rPr>
        <w:t xml:space="preserve"> durante o período correspondente</w:t>
      </w:r>
      <w:r w:rsidRPr="000120EA">
        <w:rPr>
          <w:rFonts w:asciiTheme="minorHAnsi" w:hAnsiTheme="minorHAnsi"/>
          <w:i/>
          <w:sz w:val="22"/>
          <w:szCs w:val="22"/>
        </w:rPr>
        <w:t>.</w:t>
      </w:r>
    </w:p>
    <w:p w14:paraId="547DC7EE" w14:textId="77777777" w:rsidR="008D7328" w:rsidRPr="000120EA" w:rsidRDefault="008D7328" w:rsidP="008D7328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 w:rsidRPr="000120EA">
        <w:rPr>
          <w:rFonts w:asciiTheme="minorHAnsi" w:hAnsiTheme="minorHAnsi"/>
          <w:sz w:val="22"/>
          <w:szCs w:val="22"/>
        </w:rPr>
        <w:t xml:space="preserve">Reconhecendo-se como </w:t>
      </w:r>
      <w:r w:rsidRPr="000120EA">
        <w:rPr>
          <w:rFonts w:asciiTheme="minorHAnsi" w:hAnsiTheme="minorHAnsi"/>
          <w:sz w:val="22"/>
          <w:szCs w:val="22"/>
          <w:u w:val="single"/>
        </w:rPr>
        <w:t>entradas de caixa pagas diretamente pelos utilizadores</w:t>
      </w:r>
      <w:r w:rsidRPr="000120EA">
        <w:rPr>
          <w:rFonts w:asciiTheme="minorHAnsi" w:hAnsiTheme="minorHAnsi"/>
          <w:sz w:val="22"/>
          <w:szCs w:val="22"/>
        </w:rPr>
        <w:t xml:space="preserve"> as</w:t>
      </w:r>
      <w:r w:rsidRPr="000120EA">
        <w:rPr>
          <w:rFonts w:asciiTheme="minorHAnsi" w:hAnsiTheme="minorHAnsi"/>
          <w:i/>
          <w:sz w:val="22"/>
          <w:szCs w:val="22"/>
        </w:rPr>
        <w:t xml:space="preserve"> taxas suportadas diretamente pelos utilizadores pela utilização de infraestruturas, a venda ou aluguer de terrenos ou edifícios ou os pagamentos por serviços.</w:t>
      </w:r>
    </w:p>
    <w:p w14:paraId="786BCE9F" w14:textId="77777777" w:rsidR="008D7328" w:rsidRPr="000120EA" w:rsidRDefault="008D7328" w:rsidP="008D7328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 w:rsidRPr="000120EA">
        <w:rPr>
          <w:rFonts w:asciiTheme="minorHAnsi" w:hAnsiTheme="minorHAnsi"/>
          <w:sz w:val="22"/>
          <w:szCs w:val="22"/>
        </w:rPr>
        <w:t xml:space="preserve">O mesmo número refere ainda </w:t>
      </w:r>
      <w:proofErr w:type="gramStart"/>
      <w:r w:rsidRPr="000120EA">
        <w:rPr>
          <w:rFonts w:asciiTheme="minorHAnsi" w:hAnsiTheme="minorHAnsi"/>
          <w:sz w:val="22"/>
          <w:szCs w:val="22"/>
        </w:rPr>
        <w:t>que</w:t>
      </w:r>
      <w:proofErr w:type="gramEnd"/>
      <w:r w:rsidRPr="000120EA">
        <w:rPr>
          <w:rFonts w:asciiTheme="minorHAnsi" w:hAnsiTheme="minorHAnsi"/>
          <w:sz w:val="22"/>
          <w:szCs w:val="22"/>
        </w:rPr>
        <w:t>:</w:t>
      </w:r>
    </w:p>
    <w:p w14:paraId="5AE2AFCF" w14:textId="77777777" w:rsidR="008D7328" w:rsidRDefault="008D7328" w:rsidP="008D7328">
      <w:pPr>
        <w:autoSpaceDE w:val="0"/>
        <w:autoSpaceDN w:val="0"/>
        <w:adjustRightInd w:val="0"/>
        <w:spacing w:before="120" w:after="120" w:line="360" w:lineRule="auto"/>
        <w:ind w:left="426"/>
        <w:jc w:val="both"/>
        <w:rPr>
          <w:rFonts w:asciiTheme="minorHAnsi" w:eastAsiaTheme="minorHAnsi" w:hAnsiTheme="minorHAnsi" w:cstheme="minorBidi"/>
          <w:spacing w:val="0"/>
          <w:sz w:val="22"/>
          <w:szCs w:val="22"/>
        </w:rPr>
      </w:pPr>
      <w:r w:rsidRPr="000120EA">
        <w:rPr>
          <w:rFonts w:asciiTheme="minorHAnsi" w:hAnsiTheme="minorHAnsi"/>
          <w:i/>
          <w:sz w:val="22"/>
          <w:szCs w:val="22"/>
        </w:rPr>
        <w:t>As poupanças nos custos operacionais geradas pela operação são tratadas como receita líquida, a menos que sejam contrabalançadas por uma redução idêntica nas subvenções de exploração.</w:t>
      </w:r>
    </w:p>
    <w:p w14:paraId="457F7064" w14:textId="77777777" w:rsidR="008D7328" w:rsidRPr="000120EA" w:rsidRDefault="008D7328" w:rsidP="008D7328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 w:rsidRPr="000120EA">
        <w:rPr>
          <w:rFonts w:asciiTheme="minorHAnsi" w:hAnsiTheme="minorHAnsi"/>
          <w:sz w:val="22"/>
          <w:szCs w:val="22"/>
        </w:rPr>
        <w:t>No universo de abrangência do POSEUR as disposições constantes no artigo 61.º aplicam-se às operações que reúnam as seguintes condições</w:t>
      </w:r>
      <w:r w:rsidRPr="000120EA">
        <w:rPr>
          <w:rFonts w:asciiTheme="minorHAnsi" w:hAnsiTheme="minorHAnsi"/>
          <w:sz w:val="22"/>
          <w:szCs w:val="22"/>
          <w:vertAlign w:val="superscript"/>
        </w:rPr>
        <w:footnoteReference w:id="7"/>
      </w:r>
      <w:r w:rsidR="00783AA5">
        <w:rPr>
          <w:rFonts w:asciiTheme="minorHAnsi" w:hAnsiTheme="minorHAnsi"/>
          <w:sz w:val="22"/>
          <w:szCs w:val="22"/>
        </w:rPr>
        <w:t>, identificadas como operações geradoras de receita líquida</w:t>
      </w:r>
      <w:r w:rsidRPr="000120EA">
        <w:rPr>
          <w:rFonts w:asciiTheme="minorHAnsi" w:hAnsiTheme="minorHAnsi"/>
          <w:sz w:val="22"/>
          <w:szCs w:val="22"/>
        </w:rPr>
        <w:t>:</w:t>
      </w:r>
    </w:p>
    <w:p w14:paraId="45077E26" w14:textId="77777777" w:rsidR="008D7328" w:rsidRPr="000120EA" w:rsidRDefault="008D7328" w:rsidP="008D7328">
      <w:pPr>
        <w:numPr>
          <w:ilvl w:val="0"/>
          <w:numId w:val="14"/>
        </w:numPr>
        <w:spacing w:before="120" w:after="120" w:line="360" w:lineRule="auto"/>
        <w:ind w:left="851" w:hanging="567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0120EA">
        <w:rPr>
          <w:rFonts w:asciiTheme="minorHAnsi" w:eastAsia="Calibri" w:hAnsiTheme="minorHAnsi"/>
          <w:spacing w:val="0"/>
          <w:sz w:val="22"/>
          <w:szCs w:val="22"/>
        </w:rPr>
        <w:t>Operações que incluam investimentos em infraestruturas cuja utilização implique o pagamento de taxas diretamente suportadas pelos utilizadores ou operações que envolvam a venda/aluguer de terrenos ou edifícios ou pagamentos por serviços;</w:t>
      </w:r>
    </w:p>
    <w:p w14:paraId="4B7F5F21" w14:textId="11176017" w:rsidR="008D7328" w:rsidRDefault="008D7328" w:rsidP="008D7328">
      <w:pPr>
        <w:numPr>
          <w:ilvl w:val="0"/>
          <w:numId w:val="14"/>
        </w:numPr>
        <w:spacing w:before="120" w:after="120" w:line="360" w:lineRule="auto"/>
        <w:ind w:left="851" w:hanging="567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0120EA">
        <w:rPr>
          <w:rFonts w:asciiTheme="minorHAnsi" w:eastAsia="Calibri" w:hAnsiTheme="minorHAnsi"/>
          <w:spacing w:val="0"/>
          <w:sz w:val="22"/>
          <w:szCs w:val="22"/>
        </w:rPr>
        <w:t xml:space="preserve"> Operações cujo custo total </w:t>
      </w:r>
      <w:r w:rsidR="00F13BFB">
        <w:rPr>
          <w:rFonts w:asciiTheme="minorHAnsi" w:eastAsia="Calibri" w:hAnsiTheme="minorHAnsi"/>
          <w:spacing w:val="0"/>
          <w:sz w:val="22"/>
          <w:szCs w:val="22"/>
        </w:rPr>
        <w:t xml:space="preserve">de investimento </w:t>
      </w:r>
      <w:r w:rsidRPr="000120EA">
        <w:rPr>
          <w:rFonts w:asciiTheme="minorHAnsi" w:eastAsia="Calibri" w:hAnsiTheme="minorHAnsi"/>
          <w:spacing w:val="0"/>
          <w:sz w:val="22"/>
          <w:szCs w:val="22"/>
        </w:rPr>
        <w:t>elegível (antes da dedução da receita líquida) seja superior a 1M€. Caso durante a execução de uma operação ocorra um acréscimo do custo total</w:t>
      </w:r>
      <w:r w:rsidR="00F13BFB">
        <w:rPr>
          <w:rFonts w:asciiTheme="minorHAnsi" w:eastAsia="Calibri" w:hAnsiTheme="minorHAnsi"/>
          <w:spacing w:val="0"/>
          <w:sz w:val="22"/>
          <w:szCs w:val="22"/>
        </w:rPr>
        <w:t xml:space="preserve"> de </w:t>
      </w:r>
      <w:r w:rsidR="00F13BFB">
        <w:rPr>
          <w:rFonts w:asciiTheme="minorHAnsi" w:eastAsia="Calibri" w:hAnsiTheme="minorHAnsi"/>
          <w:spacing w:val="0"/>
          <w:sz w:val="22"/>
          <w:szCs w:val="22"/>
        </w:rPr>
        <w:lastRenderedPageBreak/>
        <w:t>investimento elegível</w:t>
      </w:r>
      <w:r w:rsidRPr="000120EA">
        <w:rPr>
          <w:rFonts w:asciiTheme="minorHAnsi" w:eastAsia="Calibri" w:hAnsiTheme="minorHAnsi"/>
          <w:spacing w:val="0"/>
          <w:sz w:val="22"/>
          <w:szCs w:val="22"/>
        </w:rPr>
        <w:t xml:space="preserve"> que supere o limiar definido, a operação deverá ser enquadrada no disposto pelo artigo 61.º.</w:t>
      </w:r>
    </w:p>
    <w:p w14:paraId="70716155" w14:textId="77777777" w:rsidR="008D7328" w:rsidRPr="000120EA" w:rsidRDefault="008D7328" w:rsidP="008D7328">
      <w:pPr>
        <w:autoSpaceDE w:val="0"/>
        <w:autoSpaceDN w:val="0"/>
        <w:adjustRightInd w:val="0"/>
        <w:spacing w:before="120" w:after="120" w:line="360" w:lineRule="auto"/>
        <w:ind w:left="0"/>
        <w:jc w:val="both"/>
        <w:rPr>
          <w:rFonts w:asciiTheme="minorHAnsi" w:eastAsiaTheme="minorHAnsi" w:hAnsiTheme="minorHAnsi" w:cstheme="minorBidi"/>
          <w:spacing w:val="0"/>
          <w:sz w:val="22"/>
          <w:szCs w:val="22"/>
        </w:rPr>
      </w:pPr>
      <w:r>
        <w:rPr>
          <w:rFonts w:asciiTheme="minorHAnsi" w:eastAsiaTheme="minorHAnsi" w:hAnsiTheme="minorHAnsi" w:cstheme="minorBidi"/>
          <w:spacing w:val="0"/>
          <w:sz w:val="22"/>
          <w:szCs w:val="22"/>
        </w:rPr>
        <w:t>Neste contexto, a</w:t>
      </w:r>
      <w:r>
        <w:rPr>
          <w:rFonts w:asciiTheme="minorHAnsi" w:eastAsiaTheme="minorHAnsi" w:hAnsiTheme="minorHAnsi" w:cstheme="minorBidi"/>
          <w:i/>
          <w:spacing w:val="0"/>
          <w:sz w:val="22"/>
          <w:szCs w:val="22"/>
        </w:rPr>
        <w:t xml:space="preserve"> </w:t>
      </w:r>
      <w:r w:rsidRPr="000120EA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receita líquida potencial </w:t>
      </w:r>
      <w:r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deve </w:t>
      </w:r>
      <w:r w:rsidRPr="000120EA">
        <w:rPr>
          <w:rFonts w:asciiTheme="minorHAnsi" w:eastAsiaTheme="minorHAnsi" w:hAnsiTheme="minorHAnsi" w:cstheme="minorBidi"/>
          <w:spacing w:val="0"/>
          <w:sz w:val="22"/>
          <w:szCs w:val="22"/>
        </w:rPr>
        <w:t>ser apurada tendo por base a opção assumida pela autoridade de gestão quanto ao método reconhecido como o mais adequado para o seto</w:t>
      </w:r>
      <w:r>
        <w:rPr>
          <w:rFonts w:asciiTheme="minorHAnsi" w:eastAsiaTheme="minorHAnsi" w:hAnsiTheme="minorHAnsi" w:cstheme="minorBidi"/>
          <w:spacing w:val="0"/>
          <w:sz w:val="22"/>
          <w:szCs w:val="22"/>
        </w:rPr>
        <w:t>r, subsetor ou tipo de operação, sendo que</w:t>
      </w:r>
      <w:r w:rsidRPr="000120EA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 o número 3 do artigo 61º</w:t>
      </w:r>
      <w:r w:rsidR="009F0359">
        <w:rPr>
          <w:rFonts w:asciiTheme="minorHAnsi" w:eastAsiaTheme="minorHAnsi" w:hAnsiTheme="minorHAnsi" w:cstheme="minorBidi"/>
          <w:spacing w:val="0"/>
          <w:sz w:val="22"/>
          <w:szCs w:val="22"/>
        </w:rPr>
        <w:t>,</w:t>
      </w:r>
      <w:r w:rsidRPr="000120EA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 do mencionado regulamento</w:t>
      </w:r>
      <w:r w:rsidR="009F0359">
        <w:rPr>
          <w:rFonts w:asciiTheme="minorHAnsi" w:eastAsiaTheme="minorHAnsi" w:hAnsiTheme="minorHAnsi" w:cstheme="minorBidi"/>
          <w:spacing w:val="0"/>
          <w:sz w:val="22"/>
          <w:szCs w:val="22"/>
        </w:rPr>
        <w:t>,</w:t>
      </w:r>
      <w:r w:rsidRPr="000120EA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 identifica os dois métodos alternativos para o apuramento da receita líquida potencial, designadamente:</w:t>
      </w:r>
    </w:p>
    <w:p w14:paraId="48AFECBE" w14:textId="77777777" w:rsidR="008D7328" w:rsidRPr="00082242" w:rsidRDefault="008D7328" w:rsidP="00305028">
      <w:pPr>
        <w:pStyle w:val="PargrafodaLista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before="120" w:after="120" w:line="360" w:lineRule="auto"/>
        <w:ind w:left="851" w:hanging="567"/>
        <w:jc w:val="both"/>
        <w:rPr>
          <w:rFonts w:asciiTheme="minorHAnsi" w:eastAsiaTheme="minorHAnsi" w:hAnsiTheme="minorHAnsi" w:cstheme="minorBidi"/>
        </w:rPr>
      </w:pPr>
      <w:r w:rsidRPr="003F77C3">
        <w:rPr>
          <w:rFonts w:asciiTheme="minorHAnsi" w:eastAsiaTheme="minorHAnsi" w:hAnsiTheme="minorHAnsi" w:cstheme="minorBidi"/>
        </w:rPr>
        <w:t xml:space="preserve">Aplicação de uma percentagem </w:t>
      </w:r>
      <w:proofErr w:type="spellStart"/>
      <w:r w:rsidRPr="003F77C3">
        <w:rPr>
          <w:rFonts w:asciiTheme="minorHAnsi" w:eastAsiaTheme="minorHAnsi" w:hAnsiTheme="minorHAnsi" w:cstheme="minorBidi"/>
        </w:rPr>
        <w:t>forfetária</w:t>
      </w:r>
      <w:proofErr w:type="spellEnd"/>
      <w:r w:rsidRPr="003F77C3">
        <w:rPr>
          <w:rFonts w:asciiTheme="minorHAnsi" w:eastAsiaTheme="minorHAnsi" w:hAnsiTheme="minorHAnsi" w:cstheme="minorBidi"/>
        </w:rPr>
        <w:t xml:space="preserve"> da receita líquida para o setor o</w:t>
      </w:r>
      <w:r>
        <w:rPr>
          <w:rFonts w:asciiTheme="minorHAnsi" w:eastAsiaTheme="minorHAnsi" w:hAnsiTheme="minorHAnsi" w:cstheme="minorBidi"/>
        </w:rPr>
        <w:t xml:space="preserve">u subsetor aplicável à operação, conforme definido </w:t>
      </w:r>
      <w:r w:rsidRPr="00082242">
        <w:rPr>
          <w:rFonts w:asciiTheme="minorHAnsi" w:hAnsiTheme="minorHAnsi"/>
        </w:rPr>
        <w:t xml:space="preserve">no Anexo V do Regulamento (UE) nº 1303/2013, de 17 de Dezembro, a saber: </w:t>
      </w:r>
    </w:p>
    <w:tbl>
      <w:tblPr>
        <w:tblStyle w:val="Tabelacomgrelha"/>
        <w:tblW w:w="0" w:type="auto"/>
        <w:tblInd w:w="1242" w:type="dxa"/>
        <w:tblLook w:val="04A0" w:firstRow="1" w:lastRow="0" w:firstColumn="1" w:lastColumn="0" w:noHBand="0" w:noVBand="1"/>
      </w:tblPr>
      <w:tblGrid>
        <w:gridCol w:w="2551"/>
        <w:gridCol w:w="2275"/>
        <w:gridCol w:w="2687"/>
      </w:tblGrid>
      <w:tr w:rsidR="008D7328" w:rsidRPr="000120EA" w14:paraId="72347D5C" w14:textId="77777777" w:rsidTr="000C1C90">
        <w:tc>
          <w:tcPr>
            <w:tcW w:w="2551" w:type="dxa"/>
            <w:shd w:val="clear" w:color="auto" w:fill="92CDDC" w:themeFill="accent5" w:themeFillTint="99"/>
          </w:tcPr>
          <w:p w14:paraId="201A2066" w14:textId="77777777" w:rsidR="008D7328" w:rsidRPr="000120EA" w:rsidRDefault="008D7328" w:rsidP="000C1C90">
            <w:pPr>
              <w:ind w:left="34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0120EA">
              <w:rPr>
                <w:rFonts w:asciiTheme="minorHAnsi" w:hAnsiTheme="minorHAnsi"/>
                <w:b/>
                <w:sz w:val="22"/>
                <w:szCs w:val="22"/>
              </w:rPr>
              <w:t>Setor</w:t>
            </w:r>
          </w:p>
        </w:tc>
        <w:tc>
          <w:tcPr>
            <w:tcW w:w="2275" w:type="dxa"/>
            <w:shd w:val="clear" w:color="auto" w:fill="92CDDC" w:themeFill="accent5" w:themeFillTint="99"/>
          </w:tcPr>
          <w:p w14:paraId="2559A7B2" w14:textId="77777777" w:rsidR="008D7328" w:rsidRPr="000120EA" w:rsidRDefault="008D7328" w:rsidP="000C1C90">
            <w:pPr>
              <w:ind w:left="34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0120EA">
              <w:rPr>
                <w:rFonts w:asciiTheme="minorHAnsi" w:hAnsiTheme="minorHAnsi"/>
                <w:b/>
                <w:sz w:val="22"/>
                <w:szCs w:val="22"/>
              </w:rPr>
              <w:t xml:space="preserve">Percentagem </w:t>
            </w:r>
            <w:proofErr w:type="spellStart"/>
            <w:r w:rsidRPr="000120EA">
              <w:rPr>
                <w:rFonts w:asciiTheme="minorHAnsi" w:hAnsiTheme="minorHAnsi"/>
                <w:b/>
                <w:sz w:val="22"/>
                <w:szCs w:val="22"/>
              </w:rPr>
              <w:t>Forfetária</w:t>
            </w:r>
            <w:proofErr w:type="spellEnd"/>
          </w:p>
        </w:tc>
        <w:tc>
          <w:tcPr>
            <w:tcW w:w="2687" w:type="dxa"/>
            <w:shd w:val="clear" w:color="auto" w:fill="92CDDC" w:themeFill="accent5" w:themeFillTint="99"/>
          </w:tcPr>
          <w:p w14:paraId="7B832BCE" w14:textId="77777777" w:rsidR="008D7328" w:rsidRPr="000120EA" w:rsidRDefault="008D7328" w:rsidP="000C1C90">
            <w:pPr>
              <w:ind w:left="34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0120EA">
              <w:rPr>
                <w:rFonts w:asciiTheme="minorHAnsi" w:hAnsiTheme="minorHAnsi"/>
                <w:b/>
                <w:sz w:val="22"/>
                <w:szCs w:val="22"/>
              </w:rPr>
              <w:t>Percentagem máxima da Despesa elegível a cofinanciar</w:t>
            </w:r>
          </w:p>
        </w:tc>
      </w:tr>
      <w:tr w:rsidR="008D7328" w:rsidRPr="000120EA" w14:paraId="6B5CB2D6" w14:textId="77777777" w:rsidTr="000C1C90">
        <w:tc>
          <w:tcPr>
            <w:tcW w:w="2551" w:type="dxa"/>
          </w:tcPr>
          <w:p w14:paraId="62BA389E" w14:textId="77777777" w:rsidR="008D7328" w:rsidRPr="000120EA" w:rsidRDefault="008D7328" w:rsidP="000C1C90">
            <w:pPr>
              <w:ind w:left="34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>Rodoviário</w:t>
            </w:r>
          </w:p>
        </w:tc>
        <w:tc>
          <w:tcPr>
            <w:tcW w:w="2275" w:type="dxa"/>
          </w:tcPr>
          <w:p w14:paraId="1D1AEB87" w14:textId="77777777" w:rsidR="008D7328" w:rsidRPr="000120EA" w:rsidRDefault="008D7328" w:rsidP="000C1C90">
            <w:pPr>
              <w:ind w:left="34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>30%</w:t>
            </w:r>
          </w:p>
        </w:tc>
        <w:tc>
          <w:tcPr>
            <w:tcW w:w="2687" w:type="dxa"/>
          </w:tcPr>
          <w:p w14:paraId="2CCA63A0" w14:textId="77777777" w:rsidR="008D7328" w:rsidRPr="000120EA" w:rsidRDefault="008D7328" w:rsidP="000C1C90">
            <w:pPr>
              <w:ind w:left="34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>70%</w:t>
            </w:r>
          </w:p>
        </w:tc>
      </w:tr>
      <w:tr w:rsidR="008D7328" w:rsidRPr="000120EA" w14:paraId="48D07E89" w14:textId="77777777" w:rsidTr="000C1C90">
        <w:tc>
          <w:tcPr>
            <w:tcW w:w="2551" w:type="dxa"/>
          </w:tcPr>
          <w:p w14:paraId="5E45A10B" w14:textId="77777777" w:rsidR="008D7328" w:rsidRPr="000120EA" w:rsidRDefault="008D7328" w:rsidP="000C1C90">
            <w:pPr>
              <w:ind w:left="34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>Ferroviário</w:t>
            </w:r>
          </w:p>
        </w:tc>
        <w:tc>
          <w:tcPr>
            <w:tcW w:w="2275" w:type="dxa"/>
          </w:tcPr>
          <w:p w14:paraId="30401304" w14:textId="77777777" w:rsidR="008D7328" w:rsidRPr="000120EA" w:rsidRDefault="008D7328" w:rsidP="000C1C90">
            <w:pPr>
              <w:ind w:left="34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>20%</w:t>
            </w:r>
          </w:p>
        </w:tc>
        <w:tc>
          <w:tcPr>
            <w:tcW w:w="2687" w:type="dxa"/>
          </w:tcPr>
          <w:p w14:paraId="25264923" w14:textId="77777777" w:rsidR="008D7328" w:rsidRPr="000120EA" w:rsidRDefault="008D7328" w:rsidP="000C1C90">
            <w:pPr>
              <w:ind w:left="34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</w:tr>
      <w:tr w:rsidR="008D7328" w:rsidRPr="000120EA" w14:paraId="12ACD25E" w14:textId="77777777" w:rsidTr="000C1C90">
        <w:tc>
          <w:tcPr>
            <w:tcW w:w="2551" w:type="dxa"/>
          </w:tcPr>
          <w:p w14:paraId="019317CE" w14:textId="77777777" w:rsidR="008D7328" w:rsidRPr="000120EA" w:rsidRDefault="008D7328" w:rsidP="000C1C90">
            <w:pPr>
              <w:ind w:left="34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>Transportes Urbanos</w:t>
            </w:r>
          </w:p>
        </w:tc>
        <w:tc>
          <w:tcPr>
            <w:tcW w:w="2275" w:type="dxa"/>
          </w:tcPr>
          <w:p w14:paraId="0304D8A3" w14:textId="77777777" w:rsidR="008D7328" w:rsidRPr="000120EA" w:rsidRDefault="008D7328" w:rsidP="000C1C90">
            <w:pPr>
              <w:ind w:left="34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>20%</w:t>
            </w:r>
          </w:p>
        </w:tc>
        <w:tc>
          <w:tcPr>
            <w:tcW w:w="2687" w:type="dxa"/>
          </w:tcPr>
          <w:p w14:paraId="6BF78B6D" w14:textId="77777777" w:rsidR="008D7328" w:rsidRPr="000120EA" w:rsidRDefault="008D7328" w:rsidP="000C1C90">
            <w:pPr>
              <w:ind w:left="34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</w:tr>
      <w:tr w:rsidR="008D7328" w:rsidRPr="000120EA" w14:paraId="16E3276C" w14:textId="77777777" w:rsidTr="000C1C90">
        <w:tc>
          <w:tcPr>
            <w:tcW w:w="2551" w:type="dxa"/>
          </w:tcPr>
          <w:p w14:paraId="0B0F0B63" w14:textId="77777777" w:rsidR="008D7328" w:rsidRPr="000120EA" w:rsidRDefault="008D7328" w:rsidP="000C1C90">
            <w:pPr>
              <w:ind w:left="34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>Água</w:t>
            </w:r>
          </w:p>
        </w:tc>
        <w:tc>
          <w:tcPr>
            <w:tcW w:w="2275" w:type="dxa"/>
          </w:tcPr>
          <w:p w14:paraId="5B348105" w14:textId="77777777" w:rsidR="008D7328" w:rsidRPr="000120EA" w:rsidRDefault="008D7328" w:rsidP="000C1C90">
            <w:pPr>
              <w:ind w:left="34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>25%</w:t>
            </w:r>
          </w:p>
        </w:tc>
        <w:tc>
          <w:tcPr>
            <w:tcW w:w="2687" w:type="dxa"/>
          </w:tcPr>
          <w:p w14:paraId="08469588" w14:textId="77777777" w:rsidR="008D7328" w:rsidRPr="000120EA" w:rsidRDefault="008D7328" w:rsidP="000C1C90">
            <w:pPr>
              <w:ind w:left="34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>75%</w:t>
            </w:r>
          </w:p>
        </w:tc>
      </w:tr>
      <w:tr w:rsidR="008D7328" w:rsidRPr="000120EA" w14:paraId="187EDBFE" w14:textId="77777777" w:rsidTr="000C1C90">
        <w:tc>
          <w:tcPr>
            <w:tcW w:w="2551" w:type="dxa"/>
          </w:tcPr>
          <w:p w14:paraId="236C29BC" w14:textId="77777777" w:rsidR="008D7328" w:rsidRPr="000120EA" w:rsidRDefault="008D7328" w:rsidP="000C1C90">
            <w:pPr>
              <w:ind w:left="34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>Resíduos Sólidos</w:t>
            </w:r>
          </w:p>
        </w:tc>
        <w:tc>
          <w:tcPr>
            <w:tcW w:w="2275" w:type="dxa"/>
          </w:tcPr>
          <w:p w14:paraId="0789E06D" w14:textId="77777777" w:rsidR="008D7328" w:rsidRPr="000120EA" w:rsidRDefault="008D7328" w:rsidP="000C1C90">
            <w:pPr>
              <w:ind w:left="34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>20%</w:t>
            </w:r>
          </w:p>
        </w:tc>
        <w:tc>
          <w:tcPr>
            <w:tcW w:w="2687" w:type="dxa"/>
          </w:tcPr>
          <w:p w14:paraId="4F7361E1" w14:textId="77777777" w:rsidR="008D7328" w:rsidRPr="000120EA" w:rsidRDefault="008D7328" w:rsidP="000C1C90">
            <w:pPr>
              <w:ind w:left="34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>80%</w:t>
            </w:r>
          </w:p>
        </w:tc>
      </w:tr>
    </w:tbl>
    <w:p w14:paraId="55CA5E4A" w14:textId="77777777" w:rsidR="008D7328" w:rsidRDefault="008D7328" w:rsidP="008D7328">
      <w:pPr>
        <w:pStyle w:val="PargrafodaLista"/>
        <w:tabs>
          <w:tab w:val="left" w:pos="851"/>
        </w:tabs>
        <w:autoSpaceDE w:val="0"/>
        <w:autoSpaceDN w:val="0"/>
        <w:adjustRightInd w:val="0"/>
        <w:spacing w:before="120" w:after="120" w:line="360" w:lineRule="auto"/>
        <w:ind w:left="851"/>
        <w:jc w:val="both"/>
        <w:rPr>
          <w:rFonts w:asciiTheme="minorHAnsi" w:eastAsiaTheme="minorHAnsi" w:hAnsiTheme="minorHAnsi" w:cstheme="minorBidi"/>
        </w:rPr>
      </w:pPr>
    </w:p>
    <w:p w14:paraId="4F900D81" w14:textId="77777777" w:rsidR="00024BDA" w:rsidRDefault="008D7328" w:rsidP="00305028">
      <w:pPr>
        <w:pStyle w:val="PargrafodaLista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before="120" w:after="120" w:line="360" w:lineRule="auto"/>
        <w:ind w:left="851" w:hanging="567"/>
        <w:jc w:val="both"/>
        <w:rPr>
          <w:rFonts w:asciiTheme="minorHAnsi" w:eastAsiaTheme="minorHAnsi" w:hAnsiTheme="minorHAnsi" w:cstheme="minorBidi"/>
        </w:rPr>
      </w:pPr>
      <w:r w:rsidRPr="003F77C3">
        <w:rPr>
          <w:rFonts w:asciiTheme="minorHAnsi" w:eastAsiaTheme="minorHAnsi" w:hAnsiTheme="minorHAnsi" w:cstheme="minorBidi"/>
        </w:rPr>
        <w:t>Cálculo da receita líquida deduzida da operação</w:t>
      </w:r>
      <w:proofErr w:type="gramStart"/>
      <w:r w:rsidRPr="003F77C3">
        <w:rPr>
          <w:rFonts w:asciiTheme="minorHAnsi" w:eastAsiaTheme="minorHAnsi" w:hAnsiTheme="minorHAnsi" w:cstheme="minorBidi"/>
        </w:rPr>
        <w:t>,</w:t>
      </w:r>
      <w:proofErr w:type="gramEnd"/>
      <w:r w:rsidRPr="003F77C3">
        <w:rPr>
          <w:rFonts w:asciiTheme="minorHAnsi" w:eastAsiaTheme="minorHAnsi" w:hAnsiTheme="minorHAnsi" w:cstheme="minorBidi"/>
        </w:rPr>
        <w:t xml:space="preserve"> tendo em conta o período de referência adequado para o setor ou sub</w:t>
      </w:r>
      <w:r w:rsidR="009E4B0E">
        <w:rPr>
          <w:rFonts w:asciiTheme="minorHAnsi" w:eastAsiaTheme="minorHAnsi" w:hAnsiTheme="minorHAnsi" w:cstheme="minorBidi"/>
        </w:rPr>
        <w:t>setor aplicável à operação,</w:t>
      </w:r>
      <w:r w:rsidRPr="003F77C3">
        <w:rPr>
          <w:rFonts w:asciiTheme="minorHAnsi" w:eastAsiaTheme="minorHAnsi" w:hAnsiTheme="minorHAnsi" w:cstheme="minorBidi"/>
        </w:rPr>
        <w:t xml:space="preserve"> a rentabilidade normalmente prevista nesta categoria de investimento, a aplicação do princípio do poluidor-pagador e, se for caso disso, considerações de equidade relacionadas com a prosperidade relativa do Estado-Membro ou da região em causa. </w:t>
      </w:r>
    </w:p>
    <w:p w14:paraId="6462F8C9" w14:textId="77777777" w:rsidR="00783AA5" w:rsidRPr="00783AA5" w:rsidRDefault="00024BDA" w:rsidP="00783AA5">
      <w:pPr>
        <w:tabs>
          <w:tab w:val="left" w:pos="851"/>
        </w:tabs>
        <w:autoSpaceDE w:val="0"/>
        <w:autoSpaceDN w:val="0"/>
        <w:adjustRightInd w:val="0"/>
        <w:spacing w:before="120" w:after="120" w:line="360" w:lineRule="auto"/>
        <w:ind w:left="0"/>
        <w:jc w:val="both"/>
        <w:rPr>
          <w:rFonts w:asciiTheme="minorHAnsi" w:eastAsiaTheme="minorHAnsi" w:hAnsiTheme="minorHAnsi" w:cstheme="minorBidi"/>
          <w:spacing w:val="0"/>
          <w:sz w:val="22"/>
          <w:szCs w:val="22"/>
        </w:rPr>
      </w:pPr>
      <w:r w:rsidRPr="00024BDA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O </w:t>
      </w:r>
      <w:r w:rsidR="008D7328" w:rsidRPr="00024BDA">
        <w:rPr>
          <w:rFonts w:asciiTheme="minorHAnsi" w:eastAsiaTheme="minorHAnsi" w:hAnsiTheme="minorHAnsi" w:cstheme="minorBidi"/>
          <w:spacing w:val="0"/>
          <w:sz w:val="22"/>
          <w:szCs w:val="22"/>
        </w:rPr>
        <w:t>enquadramento de uma operação enquanto geradora de receitas líquidas na aceção do artigo 61º deve ser acautelado e adequadamente documentado no processo da candidatura, de forma a evidenciar uma pista de auditoria suficiente, considerando-se para tal necessária a consolidação de uma análise financeir</w:t>
      </w:r>
      <w:r w:rsidR="00731584">
        <w:rPr>
          <w:rFonts w:asciiTheme="minorHAnsi" w:eastAsiaTheme="minorHAnsi" w:hAnsiTheme="minorHAnsi" w:cstheme="minorBidi"/>
          <w:spacing w:val="0"/>
          <w:sz w:val="22"/>
          <w:szCs w:val="22"/>
        </w:rPr>
        <w:t>a que se assume</w:t>
      </w:r>
      <w:r w:rsidR="008D7328">
        <w:rPr>
          <w:rFonts w:asciiTheme="minorHAnsi" w:eastAsiaTheme="minorHAnsi" w:hAnsiTheme="minorHAnsi" w:cstheme="minorBidi"/>
          <w:spacing w:val="0"/>
          <w:sz w:val="22"/>
          <w:szCs w:val="22"/>
        </w:rPr>
        <w:t>, assim, como a abordagem metodológica a adotar</w:t>
      </w:r>
      <w:r w:rsidR="008D7328" w:rsidRPr="000120EA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, sempre que a opção b) seja </w:t>
      </w:r>
      <w:r w:rsidR="009F0359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a </w:t>
      </w:r>
      <w:r w:rsidR="008D7328" w:rsidRPr="000120EA">
        <w:rPr>
          <w:rFonts w:asciiTheme="minorHAnsi" w:eastAsiaTheme="minorHAnsi" w:hAnsiTheme="minorHAnsi" w:cstheme="minorBidi"/>
          <w:spacing w:val="0"/>
          <w:sz w:val="22"/>
          <w:szCs w:val="22"/>
        </w:rPr>
        <w:t>aplicável</w:t>
      </w:r>
      <w:r w:rsidR="008D7328">
        <w:rPr>
          <w:rFonts w:asciiTheme="minorHAnsi" w:eastAsiaTheme="minorHAnsi" w:hAnsiTheme="minorHAnsi" w:cstheme="minorBidi"/>
          <w:spacing w:val="0"/>
          <w:sz w:val="22"/>
          <w:szCs w:val="22"/>
        </w:rPr>
        <w:t>.</w:t>
      </w:r>
    </w:p>
    <w:p w14:paraId="43EF1894" w14:textId="77777777" w:rsidR="00783AA5" w:rsidRPr="00783AA5" w:rsidRDefault="00783AA5" w:rsidP="00783AA5">
      <w:pPr>
        <w:tabs>
          <w:tab w:val="left" w:pos="851"/>
        </w:tabs>
        <w:autoSpaceDE w:val="0"/>
        <w:autoSpaceDN w:val="0"/>
        <w:adjustRightInd w:val="0"/>
        <w:spacing w:before="120" w:after="120" w:line="360" w:lineRule="auto"/>
        <w:ind w:left="0"/>
        <w:jc w:val="both"/>
        <w:rPr>
          <w:rFonts w:asciiTheme="minorHAnsi" w:eastAsiaTheme="minorHAnsi" w:hAnsiTheme="minorHAnsi" w:cstheme="minorBidi"/>
          <w:spacing w:val="0"/>
          <w:sz w:val="22"/>
          <w:szCs w:val="22"/>
        </w:rPr>
      </w:pPr>
      <w:r>
        <w:rPr>
          <w:rFonts w:asciiTheme="minorHAnsi" w:eastAsiaTheme="minorHAnsi" w:hAnsiTheme="minorHAnsi" w:cstheme="minorBidi"/>
          <w:spacing w:val="0"/>
          <w:sz w:val="22"/>
          <w:szCs w:val="22"/>
        </w:rPr>
        <w:t>Neste contexto, o</w:t>
      </w:r>
      <w:r w:rsidRPr="00783AA5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s custos estimados para os quais não tenha sido apresentada fundamentação suficiente não serão considerados no apuramento da receita líquida gerada pela operação, podendo a Autoridade de Gestão decidir pela aplicação das taxas </w:t>
      </w:r>
      <w:proofErr w:type="spellStart"/>
      <w:r w:rsidRPr="00783AA5">
        <w:rPr>
          <w:rFonts w:asciiTheme="minorHAnsi" w:eastAsiaTheme="minorHAnsi" w:hAnsiTheme="minorHAnsi" w:cstheme="minorBidi"/>
          <w:spacing w:val="0"/>
          <w:sz w:val="22"/>
          <w:szCs w:val="22"/>
        </w:rPr>
        <w:t>forfetárias</w:t>
      </w:r>
      <w:proofErr w:type="spellEnd"/>
      <w:r w:rsidRPr="00783AA5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 identificadas</w:t>
      </w:r>
      <w:r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 acima.</w:t>
      </w:r>
    </w:p>
    <w:p w14:paraId="468EAC46" w14:textId="77777777" w:rsidR="00783AA5" w:rsidRPr="00783AA5" w:rsidRDefault="00783AA5" w:rsidP="00783AA5">
      <w:pPr>
        <w:tabs>
          <w:tab w:val="left" w:pos="851"/>
        </w:tabs>
        <w:autoSpaceDE w:val="0"/>
        <w:autoSpaceDN w:val="0"/>
        <w:adjustRightInd w:val="0"/>
        <w:spacing w:before="120" w:after="120" w:line="360" w:lineRule="auto"/>
        <w:ind w:left="0"/>
        <w:jc w:val="both"/>
        <w:rPr>
          <w:rFonts w:asciiTheme="minorHAnsi" w:eastAsiaTheme="minorHAnsi" w:hAnsiTheme="minorHAnsi" w:cstheme="minorBidi"/>
          <w:spacing w:val="0"/>
          <w:sz w:val="22"/>
          <w:szCs w:val="22"/>
        </w:rPr>
      </w:pPr>
      <w:r>
        <w:rPr>
          <w:rFonts w:asciiTheme="minorHAnsi" w:eastAsiaTheme="minorHAnsi" w:hAnsiTheme="minorHAnsi" w:cstheme="minorBidi"/>
          <w:spacing w:val="0"/>
          <w:sz w:val="22"/>
          <w:szCs w:val="22"/>
        </w:rPr>
        <w:t>De referir ainda</w:t>
      </w:r>
      <w:r w:rsidRPr="00783AA5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 que as alíneas a) do nº 1 dos artigos 91º e 98º do Regulamento Específico do Domínio da Sustentabilidade e Eficiência no Uso de Recursos (Portaria nº 57-B/2015) preveem, para os setores da Valorização dos Resíduos e da Gestão Eficiente do Ciclo Urbano da Água respetivamente, a aplicação das </w:t>
      </w:r>
      <w:r w:rsidRPr="00783AA5">
        <w:rPr>
          <w:rFonts w:asciiTheme="minorHAnsi" w:eastAsiaTheme="minorHAnsi" w:hAnsiTheme="minorHAnsi" w:cstheme="minorBidi"/>
          <w:spacing w:val="0"/>
          <w:sz w:val="22"/>
          <w:szCs w:val="22"/>
        </w:rPr>
        <w:lastRenderedPageBreak/>
        <w:t xml:space="preserve">percentagem </w:t>
      </w:r>
      <w:proofErr w:type="spellStart"/>
      <w:r w:rsidRPr="00783AA5">
        <w:rPr>
          <w:rFonts w:asciiTheme="minorHAnsi" w:eastAsiaTheme="minorHAnsi" w:hAnsiTheme="minorHAnsi" w:cstheme="minorBidi"/>
          <w:spacing w:val="0"/>
          <w:sz w:val="22"/>
          <w:szCs w:val="22"/>
        </w:rPr>
        <w:t>forfetárias</w:t>
      </w:r>
      <w:proofErr w:type="spellEnd"/>
      <w:r w:rsidRPr="00783AA5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 </w:t>
      </w:r>
      <w:r>
        <w:rPr>
          <w:rFonts w:asciiTheme="minorHAnsi" w:eastAsiaTheme="minorHAnsi" w:hAnsiTheme="minorHAnsi" w:cstheme="minorBidi"/>
          <w:spacing w:val="0"/>
          <w:sz w:val="22"/>
          <w:szCs w:val="22"/>
        </w:rPr>
        <w:t>mencionadas</w:t>
      </w:r>
      <w:r w:rsidRPr="00783AA5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, sempre que os beneficiários não evidenciem a existência de </w:t>
      </w:r>
      <w:r w:rsidRPr="00783AA5">
        <w:rPr>
          <w:rFonts w:asciiTheme="minorHAnsi" w:eastAsiaTheme="minorHAnsi" w:hAnsiTheme="minorHAnsi" w:cstheme="minorBidi"/>
          <w:b/>
          <w:spacing w:val="0"/>
          <w:sz w:val="22"/>
          <w:szCs w:val="22"/>
          <w:u w:val="single"/>
        </w:rPr>
        <w:t>sistema de informação contabilística que permita aferir os custos e proveitos de forma separada</w:t>
      </w:r>
      <w:r w:rsidRPr="00783AA5">
        <w:rPr>
          <w:rFonts w:asciiTheme="minorHAnsi" w:eastAsiaTheme="minorHAnsi" w:hAnsiTheme="minorHAnsi" w:cstheme="minorBidi"/>
          <w:spacing w:val="0"/>
          <w:sz w:val="22"/>
          <w:szCs w:val="22"/>
        </w:rPr>
        <w:t>, permitindo a apresentação de estudo que comprove a sustentabilidade da operação e o apuramento da receita líquida, nos termos do n.º 2 do artigo 19.º do Decreto- Lei n.º 159/2014, de 27 de outubro.</w:t>
      </w:r>
    </w:p>
    <w:p w14:paraId="6A73D058" w14:textId="236F064B" w:rsidR="00783AA5" w:rsidRPr="00783AA5" w:rsidRDefault="00783AA5" w:rsidP="00783AA5">
      <w:pPr>
        <w:tabs>
          <w:tab w:val="left" w:pos="851"/>
        </w:tabs>
        <w:autoSpaceDE w:val="0"/>
        <w:autoSpaceDN w:val="0"/>
        <w:adjustRightInd w:val="0"/>
        <w:spacing w:before="120" w:after="120" w:line="360" w:lineRule="auto"/>
        <w:ind w:left="0"/>
        <w:jc w:val="both"/>
        <w:rPr>
          <w:rFonts w:asciiTheme="minorHAnsi" w:eastAsiaTheme="minorHAnsi" w:hAnsiTheme="minorHAnsi" w:cstheme="minorBidi"/>
          <w:spacing w:val="0"/>
          <w:sz w:val="22"/>
          <w:szCs w:val="22"/>
        </w:rPr>
      </w:pPr>
      <w:r>
        <w:rPr>
          <w:rFonts w:asciiTheme="minorHAnsi" w:eastAsiaTheme="minorHAnsi" w:hAnsiTheme="minorHAnsi" w:cstheme="minorBidi"/>
          <w:spacing w:val="0"/>
          <w:sz w:val="22"/>
          <w:szCs w:val="22"/>
        </w:rPr>
        <w:t>Deste modo, no que</w:t>
      </w:r>
      <w:r w:rsidRPr="00783AA5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 respeita a operações com um custo </w:t>
      </w:r>
      <w:r w:rsidR="00F13BFB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total </w:t>
      </w:r>
      <w:r w:rsidRPr="00783AA5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de investimento elegível </w:t>
      </w:r>
      <w:r w:rsidR="00F13BFB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igual ou </w:t>
      </w:r>
      <w:r w:rsidRPr="00783AA5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superior a 1M€ e inferior a 25M€, nas áreas da Valorização dos Resíduos e da Gestão Eficiente do Ciclo Urbano da Água prevê-se aplicação das taxas </w:t>
      </w:r>
      <w:proofErr w:type="spellStart"/>
      <w:r w:rsidRPr="00783AA5">
        <w:rPr>
          <w:rFonts w:asciiTheme="minorHAnsi" w:eastAsiaTheme="minorHAnsi" w:hAnsiTheme="minorHAnsi" w:cstheme="minorBidi"/>
          <w:spacing w:val="0"/>
          <w:sz w:val="22"/>
          <w:szCs w:val="22"/>
        </w:rPr>
        <w:t>forfetárias</w:t>
      </w:r>
      <w:proofErr w:type="spellEnd"/>
      <w:r w:rsidRPr="00783AA5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 </w:t>
      </w:r>
      <w:r>
        <w:rPr>
          <w:rFonts w:asciiTheme="minorHAnsi" w:eastAsiaTheme="minorHAnsi" w:hAnsiTheme="minorHAnsi" w:cstheme="minorBidi"/>
          <w:spacing w:val="0"/>
          <w:sz w:val="22"/>
          <w:szCs w:val="22"/>
        </w:rPr>
        <w:t>nas situações abaixo descritas, podendo o beneficiário assumir a opção pela sua aplicação</w:t>
      </w:r>
      <w:r w:rsidRPr="00783AA5">
        <w:rPr>
          <w:rFonts w:asciiTheme="minorHAnsi" w:eastAsiaTheme="minorHAnsi" w:hAnsiTheme="minorHAnsi" w:cstheme="minorBidi"/>
          <w:spacing w:val="0"/>
          <w:sz w:val="22"/>
          <w:szCs w:val="22"/>
        </w:rPr>
        <w:t>:</w:t>
      </w:r>
    </w:p>
    <w:p w14:paraId="780CB4C7" w14:textId="77777777" w:rsidR="00783AA5" w:rsidRPr="00783AA5" w:rsidRDefault="00783AA5" w:rsidP="00783AA5">
      <w:pPr>
        <w:pStyle w:val="PargrafodaLista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eastAsiaTheme="minorHAnsi" w:hAnsiTheme="minorHAnsi" w:cstheme="minorBidi"/>
        </w:rPr>
      </w:pPr>
      <w:r w:rsidRPr="00783AA5">
        <w:rPr>
          <w:rFonts w:asciiTheme="minorHAnsi" w:eastAsiaTheme="minorHAnsi" w:hAnsiTheme="minorHAnsi" w:cstheme="minorBidi"/>
        </w:rPr>
        <w:t>Os beneficiários não possuem um sistema contabilístico organizado;</w:t>
      </w:r>
    </w:p>
    <w:p w14:paraId="1A803D51" w14:textId="7551338D" w:rsidR="00783AA5" w:rsidRPr="00783AA5" w:rsidRDefault="00783AA5" w:rsidP="00783AA5">
      <w:pPr>
        <w:pStyle w:val="PargrafodaLista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eastAsiaTheme="minorHAnsi" w:hAnsiTheme="minorHAnsi" w:cstheme="minorBidi"/>
        </w:rPr>
      </w:pPr>
      <w:r w:rsidRPr="00783AA5">
        <w:rPr>
          <w:rFonts w:asciiTheme="minorHAnsi" w:eastAsiaTheme="minorHAnsi" w:hAnsiTheme="minorHAnsi" w:cstheme="minorBidi"/>
        </w:rPr>
        <w:t>Os beneficiários possuem um sistema contabilístico organizado, no entanto conclui-se pela impossibilidade de</w:t>
      </w:r>
      <w:r w:rsidR="00F13BFB">
        <w:rPr>
          <w:rFonts w:asciiTheme="minorHAnsi" w:eastAsiaTheme="minorHAnsi" w:hAnsiTheme="minorHAnsi" w:cstheme="minorBidi"/>
        </w:rPr>
        <w:t xml:space="preserve"> apuramento e</w:t>
      </w:r>
      <w:r w:rsidRPr="00783AA5">
        <w:rPr>
          <w:rFonts w:asciiTheme="minorHAnsi" w:eastAsiaTheme="minorHAnsi" w:hAnsiTheme="minorHAnsi" w:cstheme="minorBidi"/>
        </w:rPr>
        <w:t xml:space="preserve"> reconciliação dos custos e ou proveitos;</w:t>
      </w:r>
    </w:p>
    <w:p w14:paraId="44BD0C31" w14:textId="145B0341" w:rsidR="00783AA5" w:rsidRPr="00783AA5" w:rsidRDefault="00783AA5" w:rsidP="00783AA5">
      <w:pPr>
        <w:pStyle w:val="PargrafodaLista"/>
        <w:numPr>
          <w:ilvl w:val="0"/>
          <w:numId w:val="39"/>
        </w:numPr>
        <w:tabs>
          <w:tab w:val="left" w:pos="851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eastAsiaTheme="minorHAnsi" w:hAnsiTheme="minorHAnsi" w:cstheme="minorBidi"/>
        </w:rPr>
      </w:pPr>
      <w:r w:rsidRPr="00783AA5">
        <w:rPr>
          <w:rFonts w:asciiTheme="minorHAnsi" w:eastAsiaTheme="minorHAnsi" w:hAnsiTheme="minorHAnsi" w:cstheme="minorBidi"/>
        </w:rPr>
        <w:t>A operação não comprova a qualidade de não gerador de receitas líquidas</w:t>
      </w:r>
      <w:r w:rsidR="00F13BFB">
        <w:rPr>
          <w:rFonts w:asciiTheme="minorHAnsi" w:eastAsiaTheme="minorHAnsi" w:hAnsiTheme="minorHAnsi" w:cstheme="minorBidi"/>
        </w:rPr>
        <w:t xml:space="preserve"> com segurança suficiente, por exemplo </w:t>
      </w:r>
      <w:proofErr w:type="gramStart"/>
      <w:r w:rsidR="00F13BFB">
        <w:rPr>
          <w:rFonts w:asciiTheme="minorHAnsi" w:eastAsiaTheme="minorHAnsi" w:hAnsiTheme="minorHAnsi" w:cstheme="minorBidi"/>
        </w:rPr>
        <w:t>por  estarem</w:t>
      </w:r>
      <w:proofErr w:type="gramEnd"/>
      <w:r w:rsidR="00F13BFB">
        <w:rPr>
          <w:rFonts w:asciiTheme="minorHAnsi" w:eastAsiaTheme="minorHAnsi" w:hAnsiTheme="minorHAnsi" w:cstheme="minorBidi"/>
        </w:rPr>
        <w:t xml:space="preserve"> previstas ou a decorrer alterações significativas no domínio da gestão das infraestruturas e serviços</w:t>
      </w:r>
      <w:r w:rsidRPr="00783AA5">
        <w:rPr>
          <w:rFonts w:asciiTheme="minorHAnsi" w:eastAsiaTheme="minorHAnsi" w:hAnsiTheme="minorHAnsi" w:cstheme="minorBidi"/>
        </w:rPr>
        <w:t>;</w:t>
      </w:r>
    </w:p>
    <w:p w14:paraId="23897D62" w14:textId="77777777" w:rsidR="00783AA5" w:rsidRPr="009D51E4" w:rsidRDefault="00783AA5" w:rsidP="009D51E4">
      <w:pPr>
        <w:spacing w:line="360" w:lineRule="auto"/>
        <w:ind w:left="833" w:hanging="833"/>
        <w:rPr>
          <w:rFonts w:asciiTheme="minorHAnsi" w:eastAsia="Calibri" w:hAnsiTheme="minorHAnsi"/>
          <w:b/>
          <w:color w:val="4BACC6" w:themeColor="accent5"/>
          <w:sz w:val="22"/>
          <w:szCs w:val="22"/>
          <w:u w:val="single"/>
        </w:rPr>
      </w:pPr>
      <w:bookmarkStart w:id="80" w:name="_Toc464481586"/>
      <w:bookmarkStart w:id="81" w:name="_Toc464485180"/>
    </w:p>
    <w:p w14:paraId="6C9BDA50" w14:textId="77777777" w:rsidR="00697419" w:rsidRPr="009D51E4" w:rsidRDefault="009F0359" w:rsidP="009D51E4">
      <w:pPr>
        <w:spacing w:line="360" w:lineRule="auto"/>
        <w:ind w:left="833" w:hanging="833"/>
        <w:rPr>
          <w:rFonts w:asciiTheme="minorHAnsi" w:eastAsia="Calibri" w:hAnsiTheme="minorHAnsi"/>
          <w:b/>
          <w:color w:val="4BACC6" w:themeColor="accent5"/>
          <w:sz w:val="22"/>
          <w:szCs w:val="22"/>
          <w:u w:val="single"/>
        </w:rPr>
      </w:pPr>
      <w:r w:rsidRPr="009D51E4">
        <w:rPr>
          <w:rFonts w:asciiTheme="minorHAnsi" w:eastAsia="Calibri" w:hAnsiTheme="minorHAnsi"/>
          <w:b/>
          <w:color w:val="4BACC6" w:themeColor="accent5"/>
          <w:sz w:val="22"/>
          <w:szCs w:val="22"/>
          <w:u w:val="single"/>
        </w:rPr>
        <w:t>Receita Líquida Atualizada</w:t>
      </w:r>
      <w:bookmarkEnd w:id="80"/>
      <w:bookmarkEnd w:id="81"/>
    </w:p>
    <w:p w14:paraId="3213145E" w14:textId="77777777" w:rsidR="00F34B24" w:rsidRDefault="00F34B24" w:rsidP="00F34B24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 w:rsidRPr="000120EA">
        <w:rPr>
          <w:rFonts w:asciiTheme="minorHAnsi" w:hAnsiTheme="minorHAnsi"/>
          <w:sz w:val="22"/>
          <w:szCs w:val="22"/>
        </w:rPr>
        <w:t xml:space="preserve">O valor da receita líquida atualizada da operação é apurado com base no cálculo das receitas e dos custos de exploração atualizados (ao ano base do </w:t>
      </w:r>
      <w:r w:rsidR="00C76A56">
        <w:rPr>
          <w:rFonts w:asciiTheme="minorHAnsi" w:hAnsiTheme="minorHAnsi"/>
          <w:sz w:val="22"/>
          <w:szCs w:val="22"/>
        </w:rPr>
        <w:t>análise</w:t>
      </w:r>
      <w:r w:rsidRPr="000120EA">
        <w:rPr>
          <w:rFonts w:asciiTheme="minorHAnsi" w:hAnsiTheme="minorHAnsi"/>
          <w:sz w:val="22"/>
          <w:szCs w:val="22"/>
        </w:rPr>
        <w:t xml:space="preserve">), bem como do valor residual do investimento no último ano do período de referência considerado, em conformidade com o número 1 do artigo 15º do Regulamento Delegado (EU) nº 480/2014: </w:t>
      </w:r>
    </w:p>
    <w:p w14:paraId="210123CE" w14:textId="77777777" w:rsidR="009F0359" w:rsidRDefault="009F0359" w:rsidP="00F34B24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6945"/>
      </w:tblGrid>
      <w:tr w:rsidR="00F34B24" w:rsidRPr="000120EA" w14:paraId="5281CF22" w14:textId="77777777" w:rsidTr="000C1C90">
        <w:trPr>
          <w:jc w:val="center"/>
        </w:trPr>
        <w:tc>
          <w:tcPr>
            <w:tcW w:w="6945" w:type="dxa"/>
          </w:tcPr>
          <w:p w14:paraId="43C75E84" w14:textId="77777777" w:rsidR="00F34B24" w:rsidRPr="000120EA" w:rsidRDefault="00F34B24" w:rsidP="000C1C90">
            <w:pPr>
              <w:spacing w:before="120" w:after="120" w:line="360" w:lineRule="auto"/>
              <w:ind w:left="-108"/>
              <w:jc w:val="center"/>
              <w:rPr>
                <w:rFonts w:asciiTheme="minorHAnsi" w:hAnsiTheme="minorHAnsi"/>
                <w:b/>
              </w:rPr>
            </w:pPr>
            <w:r w:rsidRPr="000120EA">
              <w:rPr>
                <w:rFonts w:asciiTheme="minorHAnsi" w:hAnsiTheme="minorHAnsi"/>
                <w:b/>
              </w:rPr>
              <w:t>Receita Líquida Atualizada = Receitas de Exploração Atualizadas – Custos de Exploração Atualizados + Valor Residual Atualizado</w:t>
            </w:r>
          </w:p>
        </w:tc>
      </w:tr>
    </w:tbl>
    <w:p w14:paraId="58F43BBE" w14:textId="77777777" w:rsidR="00F34B24" w:rsidRPr="000120EA" w:rsidRDefault="00F34B24" w:rsidP="00F34B24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</w:p>
    <w:p w14:paraId="4A546E70" w14:textId="77777777" w:rsidR="00F34B24" w:rsidRPr="000120EA" w:rsidRDefault="00F34B24" w:rsidP="00F34B24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 w:rsidRPr="000120EA">
        <w:rPr>
          <w:rFonts w:asciiTheme="minorHAnsi" w:hAnsiTheme="minorHAnsi"/>
          <w:sz w:val="22"/>
          <w:szCs w:val="22"/>
        </w:rPr>
        <w:t>A receita líquida atualizada de uma operação deve ser calculada com base n</w:t>
      </w:r>
      <w:r w:rsidR="00024BDA">
        <w:rPr>
          <w:rFonts w:asciiTheme="minorHAnsi" w:hAnsiTheme="minorHAnsi"/>
          <w:sz w:val="22"/>
          <w:szCs w:val="22"/>
        </w:rPr>
        <w:t>o</w:t>
      </w:r>
      <w:r w:rsidRPr="000120EA">
        <w:rPr>
          <w:rFonts w:asciiTheme="minorHAnsi" w:hAnsiTheme="minorHAnsi"/>
          <w:sz w:val="22"/>
          <w:szCs w:val="22"/>
        </w:rPr>
        <w:t xml:space="preserve"> período de referência específico aplicável ao</w:t>
      </w:r>
      <w:r w:rsidR="00024BDA">
        <w:rPr>
          <w:rFonts w:asciiTheme="minorHAnsi" w:hAnsiTheme="minorHAnsi"/>
          <w:sz w:val="22"/>
          <w:szCs w:val="22"/>
        </w:rPr>
        <w:t xml:space="preserve"> respetivo setor dessa operação, </w:t>
      </w:r>
      <w:r w:rsidR="00024BDA" w:rsidRPr="00024BDA">
        <w:rPr>
          <w:rFonts w:asciiTheme="minorHAnsi" w:hAnsiTheme="minorHAnsi"/>
          <w:sz w:val="22"/>
          <w:szCs w:val="22"/>
        </w:rPr>
        <w:t xml:space="preserve">no cumprimento do nº. 2 </w:t>
      </w:r>
      <w:proofErr w:type="gramStart"/>
      <w:r w:rsidR="00024BDA" w:rsidRPr="00024BDA">
        <w:rPr>
          <w:rFonts w:asciiTheme="minorHAnsi" w:hAnsiTheme="minorHAnsi"/>
          <w:sz w:val="22"/>
          <w:szCs w:val="22"/>
        </w:rPr>
        <w:t>do</w:t>
      </w:r>
      <w:proofErr w:type="gramEnd"/>
      <w:r w:rsidR="00024BDA" w:rsidRPr="00024BDA">
        <w:rPr>
          <w:rFonts w:asciiTheme="minorHAnsi" w:hAnsiTheme="minorHAnsi"/>
          <w:sz w:val="22"/>
          <w:szCs w:val="22"/>
        </w:rPr>
        <w:t xml:space="preserve"> artigo 15º do Regulamento 480/2014, de 3 de março de 2014</w:t>
      </w:r>
      <w:r w:rsidR="00024BDA">
        <w:rPr>
          <w:rFonts w:asciiTheme="minorHAnsi" w:hAnsiTheme="minorHAnsi"/>
          <w:sz w:val="22"/>
          <w:szCs w:val="22"/>
        </w:rPr>
        <w:t>.</w:t>
      </w:r>
    </w:p>
    <w:p w14:paraId="241D8A98" w14:textId="77777777" w:rsidR="009E4B0E" w:rsidRPr="000120EA" w:rsidRDefault="009E4B0E" w:rsidP="009E4B0E">
      <w:pPr>
        <w:spacing w:before="120" w:after="120" w:line="360" w:lineRule="auto"/>
        <w:ind w:left="0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>
        <w:rPr>
          <w:rFonts w:asciiTheme="minorHAnsi" w:eastAsia="Calibri" w:hAnsiTheme="minorHAnsi"/>
          <w:spacing w:val="0"/>
          <w:sz w:val="22"/>
          <w:szCs w:val="22"/>
        </w:rPr>
        <w:lastRenderedPageBreak/>
        <w:t>No que respeita à co</w:t>
      </w:r>
      <w:r w:rsidRPr="000120EA">
        <w:rPr>
          <w:rFonts w:asciiTheme="minorHAnsi" w:eastAsia="Calibri" w:hAnsiTheme="minorHAnsi"/>
          <w:spacing w:val="0"/>
          <w:sz w:val="22"/>
          <w:szCs w:val="22"/>
        </w:rPr>
        <w:t>nsideração do imposto sobre o valor acrescentado (IVA) em conformidade com a alínea c), do nº. 3,do artigo 69º do Regulamento (UE) nº 1303/2013:</w:t>
      </w:r>
    </w:p>
    <w:p w14:paraId="1C5A9CC6" w14:textId="0B831B1B" w:rsidR="009E4B0E" w:rsidRPr="000120EA" w:rsidRDefault="009E4B0E" w:rsidP="00305028">
      <w:pPr>
        <w:numPr>
          <w:ilvl w:val="0"/>
          <w:numId w:val="31"/>
        </w:numPr>
        <w:spacing w:before="120" w:after="120" w:line="360" w:lineRule="auto"/>
        <w:ind w:left="851" w:hanging="425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0120EA">
        <w:rPr>
          <w:rFonts w:asciiTheme="minorHAnsi" w:eastAsia="Calibri" w:hAnsiTheme="minorHAnsi"/>
          <w:spacing w:val="0"/>
          <w:sz w:val="22"/>
          <w:szCs w:val="22"/>
        </w:rPr>
        <w:t>IVA dedutível – sempre que o IVA</w:t>
      </w:r>
      <w:r w:rsidR="00F13BFB">
        <w:rPr>
          <w:rFonts w:asciiTheme="minorHAnsi" w:eastAsia="Calibri" w:hAnsiTheme="minorHAnsi"/>
          <w:spacing w:val="0"/>
          <w:sz w:val="22"/>
          <w:szCs w:val="22"/>
        </w:rPr>
        <w:t xml:space="preserve"> é dedutível para o </w:t>
      </w:r>
      <w:proofErr w:type="gramStart"/>
      <w:r w:rsidR="00F13BFB">
        <w:rPr>
          <w:rFonts w:asciiTheme="minorHAnsi" w:eastAsia="Calibri" w:hAnsiTheme="minorHAnsi"/>
          <w:spacing w:val="0"/>
          <w:sz w:val="22"/>
          <w:szCs w:val="22"/>
        </w:rPr>
        <w:t xml:space="preserve">beneficiário, </w:t>
      </w:r>
      <w:r w:rsidRPr="000120EA">
        <w:rPr>
          <w:rFonts w:asciiTheme="minorHAnsi" w:eastAsia="Calibri" w:hAnsiTheme="minorHAnsi"/>
          <w:spacing w:val="0"/>
          <w:sz w:val="22"/>
          <w:szCs w:val="22"/>
        </w:rPr>
        <w:t xml:space="preserve"> não</w:t>
      </w:r>
      <w:proofErr w:type="gramEnd"/>
      <w:r w:rsidRPr="000120EA">
        <w:rPr>
          <w:rFonts w:asciiTheme="minorHAnsi" w:eastAsia="Calibri" w:hAnsiTheme="minorHAnsi"/>
          <w:spacing w:val="0"/>
          <w:sz w:val="22"/>
          <w:szCs w:val="22"/>
        </w:rPr>
        <w:t xml:space="preserve"> é um custo</w:t>
      </w:r>
      <w:r w:rsidR="00F13BFB">
        <w:rPr>
          <w:rFonts w:asciiTheme="minorHAnsi" w:eastAsia="Calibri" w:hAnsiTheme="minorHAnsi"/>
          <w:spacing w:val="0"/>
          <w:sz w:val="22"/>
          <w:szCs w:val="22"/>
        </w:rPr>
        <w:t xml:space="preserve"> pelo que o</w:t>
      </w:r>
      <w:r w:rsidRPr="000120EA">
        <w:rPr>
          <w:rFonts w:asciiTheme="minorHAnsi" w:eastAsia="Calibri" w:hAnsiTheme="minorHAnsi"/>
          <w:spacing w:val="0"/>
          <w:sz w:val="22"/>
          <w:szCs w:val="22"/>
        </w:rPr>
        <w:t xml:space="preserve"> cálculo da receita líquida atualizada deve ser baseado em montantes líquidos de IVA, </w:t>
      </w:r>
      <w:proofErr w:type="spellStart"/>
      <w:r w:rsidRPr="000120EA">
        <w:rPr>
          <w:rFonts w:asciiTheme="minorHAnsi" w:eastAsia="Calibri" w:hAnsiTheme="minorHAnsi"/>
          <w:spacing w:val="0"/>
          <w:sz w:val="22"/>
          <w:szCs w:val="22"/>
        </w:rPr>
        <w:t>i.e</w:t>
      </w:r>
      <w:proofErr w:type="spellEnd"/>
      <w:r w:rsidRPr="000120EA">
        <w:rPr>
          <w:rFonts w:asciiTheme="minorHAnsi" w:eastAsia="Calibri" w:hAnsiTheme="minorHAnsi"/>
          <w:spacing w:val="0"/>
          <w:sz w:val="22"/>
          <w:szCs w:val="22"/>
        </w:rPr>
        <w:t>, investimento, custos e receitas de exploração sem IVA.</w:t>
      </w:r>
    </w:p>
    <w:p w14:paraId="5B3D0A35" w14:textId="4EF90550" w:rsidR="009E4B0E" w:rsidRPr="000120EA" w:rsidRDefault="009E4B0E" w:rsidP="00305028">
      <w:pPr>
        <w:numPr>
          <w:ilvl w:val="0"/>
          <w:numId w:val="31"/>
        </w:numPr>
        <w:spacing w:before="120" w:after="120" w:line="360" w:lineRule="auto"/>
        <w:ind w:left="851" w:hanging="425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0120EA">
        <w:rPr>
          <w:rFonts w:asciiTheme="minorHAnsi" w:eastAsia="Calibri" w:hAnsiTheme="minorHAnsi"/>
          <w:spacing w:val="0"/>
          <w:sz w:val="22"/>
          <w:szCs w:val="22"/>
        </w:rPr>
        <w:t>IVA não dedutível – sempre que o IVA não é recuperável</w:t>
      </w:r>
      <w:r w:rsidR="00F13BFB">
        <w:rPr>
          <w:rFonts w:asciiTheme="minorHAnsi" w:eastAsia="Calibri" w:hAnsiTheme="minorHAnsi"/>
          <w:spacing w:val="0"/>
          <w:sz w:val="22"/>
          <w:szCs w:val="22"/>
        </w:rPr>
        <w:t xml:space="preserve"> para o beneficiário deverá fazer parte dos custos, pelo que</w:t>
      </w:r>
      <w:r w:rsidRPr="000120EA">
        <w:rPr>
          <w:rFonts w:asciiTheme="minorHAnsi" w:eastAsia="Calibri" w:hAnsiTheme="minorHAnsi"/>
          <w:spacing w:val="0"/>
          <w:sz w:val="22"/>
          <w:szCs w:val="22"/>
        </w:rPr>
        <w:t xml:space="preserve"> o mesmo deve ser incluído na análise, </w:t>
      </w:r>
      <w:r w:rsidR="00F13BFB">
        <w:rPr>
          <w:rFonts w:asciiTheme="minorHAnsi" w:eastAsia="Calibri" w:hAnsiTheme="minorHAnsi"/>
          <w:spacing w:val="0"/>
          <w:sz w:val="22"/>
          <w:szCs w:val="22"/>
        </w:rPr>
        <w:t>para apuramento dos montantes do</w:t>
      </w:r>
      <w:r w:rsidRPr="000120EA">
        <w:rPr>
          <w:rFonts w:asciiTheme="minorHAnsi" w:eastAsia="Calibri" w:hAnsiTheme="minorHAnsi"/>
          <w:spacing w:val="0"/>
          <w:sz w:val="22"/>
          <w:szCs w:val="22"/>
        </w:rPr>
        <w:t xml:space="preserve"> investimento, custos e receitas de exploração</w:t>
      </w:r>
      <w:r w:rsidR="00F13BFB">
        <w:rPr>
          <w:rFonts w:asciiTheme="minorHAnsi" w:eastAsia="Calibri" w:hAnsiTheme="minorHAnsi"/>
          <w:spacing w:val="0"/>
          <w:sz w:val="22"/>
          <w:szCs w:val="22"/>
        </w:rPr>
        <w:t>, os quais devem ser</w:t>
      </w:r>
      <w:r w:rsidRPr="000120EA">
        <w:rPr>
          <w:rFonts w:asciiTheme="minorHAnsi" w:eastAsia="Calibri" w:hAnsiTheme="minorHAnsi"/>
          <w:spacing w:val="0"/>
          <w:sz w:val="22"/>
          <w:szCs w:val="22"/>
        </w:rPr>
        <w:t xml:space="preserve"> acrescidos de IVA.</w:t>
      </w:r>
    </w:p>
    <w:p w14:paraId="4FBD6886" w14:textId="77777777" w:rsidR="00024BDA" w:rsidRDefault="00024BDA" w:rsidP="00F34B24">
      <w:pPr>
        <w:spacing w:before="120" w:after="120" w:line="360" w:lineRule="auto"/>
        <w:ind w:left="29"/>
        <w:jc w:val="both"/>
        <w:rPr>
          <w:rFonts w:asciiTheme="minorHAnsi" w:hAnsiTheme="minorHAnsi"/>
          <w:sz w:val="22"/>
          <w:szCs w:val="22"/>
        </w:rPr>
      </w:pPr>
    </w:p>
    <w:p w14:paraId="305FAB48" w14:textId="77777777" w:rsidR="00F34B24" w:rsidRPr="000120EA" w:rsidRDefault="00F34B24" w:rsidP="00F34B24">
      <w:pPr>
        <w:spacing w:before="120" w:after="120" w:line="360" w:lineRule="auto"/>
        <w:ind w:left="29"/>
        <w:jc w:val="both"/>
        <w:rPr>
          <w:rFonts w:asciiTheme="minorHAnsi" w:hAnsiTheme="minorHAnsi"/>
          <w:sz w:val="22"/>
          <w:szCs w:val="22"/>
        </w:rPr>
      </w:pPr>
      <w:r w:rsidRPr="000120EA">
        <w:rPr>
          <w:rFonts w:asciiTheme="minorHAnsi" w:hAnsiTheme="minorHAnsi"/>
          <w:sz w:val="22"/>
          <w:szCs w:val="22"/>
        </w:rPr>
        <w:t xml:space="preserve">Tendo em conta o referido nos pontos anteriores, </w:t>
      </w:r>
      <w:r w:rsidRPr="009E4B0E">
        <w:rPr>
          <w:rFonts w:asciiTheme="minorHAnsi" w:hAnsiTheme="minorHAnsi"/>
          <w:sz w:val="22"/>
          <w:szCs w:val="22"/>
          <w:u w:val="single"/>
        </w:rPr>
        <w:t>o Défice de Financiamento da operação é determinado da seguinte forma</w:t>
      </w:r>
      <w:r w:rsidRPr="000120EA">
        <w:rPr>
          <w:rFonts w:asciiTheme="minorHAnsi" w:hAnsiTheme="minorHAnsi"/>
          <w:sz w:val="22"/>
          <w:szCs w:val="22"/>
        </w:rPr>
        <w:t>:</w:t>
      </w:r>
    </w:p>
    <w:tbl>
      <w:tblPr>
        <w:tblStyle w:val="Tabelacomgrelh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2216"/>
      </w:tblGrid>
      <w:tr w:rsidR="00F34B24" w:rsidRPr="000120EA" w14:paraId="49C9A2EE" w14:textId="77777777" w:rsidTr="009E4B0E">
        <w:trPr>
          <w:jc w:val="center"/>
        </w:trPr>
        <w:tc>
          <w:tcPr>
            <w:tcW w:w="567" w:type="dxa"/>
            <w:vMerge w:val="restart"/>
          </w:tcPr>
          <w:p w14:paraId="613AB163" w14:textId="77777777" w:rsidR="00F34B24" w:rsidRPr="000120EA" w:rsidRDefault="00F34B24" w:rsidP="000C1C90">
            <w:pPr>
              <w:ind w:left="0"/>
              <w:jc w:val="center"/>
              <w:rPr>
                <w:rFonts w:asciiTheme="minorHAnsi" w:hAnsiTheme="minorHAnsi"/>
                <w:sz w:val="12"/>
                <w:szCs w:val="12"/>
              </w:rPr>
            </w:pPr>
          </w:p>
          <w:p w14:paraId="23B400B4" w14:textId="77777777" w:rsidR="00F34B24" w:rsidRPr="000120EA" w:rsidRDefault="00F34B24" w:rsidP="000C1C90">
            <w:pPr>
              <w:ind w:left="-108"/>
              <w:jc w:val="center"/>
              <w:rPr>
                <w:rFonts w:asciiTheme="minorHAnsi" w:hAnsiTheme="minorHAnsi"/>
                <w:sz w:val="22"/>
                <w:szCs w:val="22"/>
              </w:rPr>
            </w:pPr>
            <w:proofErr w:type="gramStart"/>
            <w:r w:rsidRPr="000120EA">
              <w:rPr>
                <w:rFonts w:asciiTheme="minorHAnsi" w:hAnsiTheme="minorHAnsi"/>
                <w:sz w:val="22"/>
                <w:szCs w:val="22"/>
              </w:rPr>
              <w:t>DF  =</w:t>
            </w:r>
            <w:proofErr w:type="gramEnd"/>
          </w:p>
        </w:tc>
        <w:tc>
          <w:tcPr>
            <w:tcW w:w="2216" w:type="dxa"/>
            <w:tcBorders>
              <w:bottom w:val="single" w:sz="4" w:space="0" w:color="auto"/>
            </w:tcBorders>
          </w:tcPr>
          <w:p w14:paraId="4B8BB5C8" w14:textId="77777777" w:rsidR="00F34B24" w:rsidRPr="000120EA" w:rsidRDefault="00F34B24" w:rsidP="000C1C90">
            <w:pPr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>CTI - (RLA-CLA+VRA)</w:t>
            </w:r>
          </w:p>
        </w:tc>
      </w:tr>
      <w:tr w:rsidR="00F34B24" w:rsidRPr="000120EA" w14:paraId="6F6DDED9" w14:textId="77777777" w:rsidTr="009E4B0E">
        <w:trPr>
          <w:jc w:val="center"/>
        </w:trPr>
        <w:tc>
          <w:tcPr>
            <w:tcW w:w="567" w:type="dxa"/>
            <w:vMerge/>
          </w:tcPr>
          <w:p w14:paraId="577C662B" w14:textId="77777777" w:rsidR="00F34B24" w:rsidRPr="000120EA" w:rsidRDefault="00F34B24" w:rsidP="000C1C90">
            <w:pPr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216" w:type="dxa"/>
            <w:tcBorders>
              <w:top w:val="single" w:sz="4" w:space="0" w:color="auto"/>
            </w:tcBorders>
          </w:tcPr>
          <w:p w14:paraId="5A685410" w14:textId="77777777" w:rsidR="00F34B24" w:rsidRPr="000120EA" w:rsidRDefault="00F34B24" w:rsidP="000C1C90">
            <w:pPr>
              <w:ind w:left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>CTI</w:t>
            </w:r>
          </w:p>
        </w:tc>
      </w:tr>
    </w:tbl>
    <w:p w14:paraId="650B2065" w14:textId="77777777" w:rsidR="00E464D1" w:rsidRDefault="00E464D1" w:rsidP="009E4B0E">
      <w:pPr>
        <w:spacing w:before="120" w:after="120" w:line="360" w:lineRule="auto"/>
        <w:ind w:left="0"/>
        <w:jc w:val="both"/>
        <w:rPr>
          <w:rFonts w:asciiTheme="minorHAnsi" w:hAnsiTheme="minorHAnsi"/>
          <w:b/>
        </w:rPr>
      </w:pPr>
    </w:p>
    <w:p w14:paraId="76E69C61" w14:textId="77777777" w:rsidR="00187370" w:rsidRDefault="00F34B24" w:rsidP="002A539E">
      <w:pPr>
        <w:spacing w:before="120" w:after="120" w:line="360" w:lineRule="auto"/>
        <w:ind w:left="0"/>
        <w:jc w:val="both"/>
        <w:rPr>
          <w:rFonts w:asciiTheme="minorHAnsi" w:hAnsiTheme="minorHAnsi"/>
        </w:rPr>
      </w:pPr>
      <w:proofErr w:type="spellStart"/>
      <w:r w:rsidRPr="000120EA">
        <w:rPr>
          <w:rFonts w:asciiTheme="minorHAnsi" w:hAnsiTheme="minorHAnsi"/>
          <w:b/>
        </w:rPr>
        <w:t>Obs</w:t>
      </w:r>
      <w:proofErr w:type="spellEnd"/>
      <w:r w:rsidRPr="000120EA">
        <w:rPr>
          <w:rFonts w:asciiTheme="minorHAnsi" w:hAnsiTheme="minorHAnsi"/>
          <w:b/>
        </w:rPr>
        <w:t>:</w:t>
      </w:r>
      <w:r w:rsidRPr="000120EA">
        <w:rPr>
          <w:rFonts w:asciiTheme="minorHAnsi" w:hAnsiTheme="minorHAnsi"/>
        </w:rPr>
        <w:t xml:space="preserve"> conferir método de apuramento do </w:t>
      </w:r>
      <w:r w:rsidRPr="000120EA">
        <w:rPr>
          <w:rFonts w:asciiTheme="minorHAnsi" w:hAnsiTheme="minorHAnsi"/>
          <w:i/>
        </w:rPr>
        <w:t xml:space="preserve">pro </w:t>
      </w:r>
      <w:proofErr w:type="gramStart"/>
      <w:r w:rsidRPr="000120EA">
        <w:rPr>
          <w:rFonts w:asciiTheme="minorHAnsi" w:hAnsiTheme="minorHAnsi"/>
          <w:i/>
        </w:rPr>
        <w:t>rata</w:t>
      </w:r>
      <w:proofErr w:type="gramEnd"/>
      <w:r w:rsidRPr="000120EA">
        <w:rPr>
          <w:rFonts w:asciiTheme="minorHAnsi" w:hAnsiTheme="minorHAnsi"/>
        </w:rPr>
        <w:t xml:space="preserve"> da receita líquida atualizada/Défice de Financiamento no Anexo 3.</w:t>
      </w:r>
    </w:p>
    <w:p w14:paraId="080A1F57" w14:textId="77777777" w:rsidR="00783AA5" w:rsidRPr="00731584" w:rsidRDefault="00783AA5" w:rsidP="002A539E">
      <w:pPr>
        <w:spacing w:before="120" w:after="120" w:line="360" w:lineRule="auto"/>
        <w:ind w:left="0"/>
        <w:jc w:val="both"/>
        <w:rPr>
          <w:rFonts w:asciiTheme="minorHAnsi" w:hAnsiTheme="minorHAnsi"/>
        </w:rPr>
      </w:pPr>
    </w:p>
    <w:tbl>
      <w:tblPr>
        <w:tblStyle w:val="Tabelacomgrelha"/>
        <w:tblW w:w="10178" w:type="dxa"/>
        <w:tblInd w:w="-147" w:type="dxa"/>
        <w:shd w:val="clear" w:color="auto" w:fill="F4E62C"/>
        <w:tblLook w:val="04A0" w:firstRow="1" w:lastRow="0" w:firstColumn="1" w:lastColumn="0" w:noHBand="0" w:noVBand="1"/>
      </w:tblPr>
      <w:tblGrid>
        <w:gridCol w:w="10178"/>
      </w:tblGrid>
      <w:tr w:rsidR="007F2404" w:rsidRPr="000120EA" w14:paraId="3B09B9B8" w14:textId="77777777" w:rsidTr="007203ED">
        <w:tc>
          <w:tcPr>
            <w:tcW w:w="10178" w:type="dxa"/>
            <w:shd w:val="clear" w:color="auto" w:fill="F4E62C"/>
          </w:tcPr>
          <w:p w14:paraId="076107E1" w14:textId="77777777" w:rsidR="007F2404" w:rsidRPr="000120EA" w:rsidRDefault="007F2404" w:rsidP="007203ED">
            <w:pPr>
              <w:spacing w:before="120" w:after="120" w:line="360" w:lineRule="auto"/>
              <w:ind w:left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>Para a confirmação do enquadramento no artigo 61º do º do Regulamento (UE) nº 1303/2013,de 17 de dez</w:t>
            </w:r>
            <w:r>
              <w:rPr>
                <w:rFonts w:asciiTheme="minorHAnsi" w:hAnsiTheme="minorHAnsi"/>
                <w:sz w:val="22"/>
                <w:szCs w:val="22"/>
              </w:rPr>
              <w:t>embro de 2013 deve ser elaborada análise financeira</w:t>
            </w:r>
            <w:r w:rsidRPr="000120EA">
              <w:rPr>
                <w:rFonts w:asciiTheme="minorHAnsi" w:hAnsiTheme="minorHAnsi"/>
                <w:sz w:val="22"/>
                <w:szCs w:val="22"/>
              </w:rPr>
              <w:t xml:space="preserve"> de acordo com o modelo definido no </w:t>
            </w:r>
            <w:r w:rsidRPr="002A539E">
              <w:rPr>
                <w:rFonts w:asciiTheme="minorHAnsi" w:hAnsiTheme="minorHAnsi"/>
                <w:b/>
                <w:sz w:val="22"/>
                <w:szCs w:val="22"/>
              </w:rPr>
              <w:t>Anexo 1</w:t>
            </w:r>
            <w:r w:rsidRPr="000120EA">
              <w:rPr>
                <w:rFonts w:asciiTheme="minorHAnsi" w:hAnsiTheme="minorHAnsi"/>
                <w:sz w:val="22"/>
                <w:szCs w:val="22"/>
              </w:rPr>
              <w:t>, sendo que:</w:t>
            </w:r>
          </w:p>
          <w:p w14:paraId="3077E9DA" w14:textId="77777777" w:rsidR="007F2404" w:rsidRPr="000120EA" w:rsidRDefault="007F2404" w:rsidP="00305028">
            <w:pPr>
              <w:numPr>
                <w:ilvl w:val="0"/>
                <w:numId w:val="25"/>
              </w:numPr>
              <w:spacing w:before="120" w:after="120" w:line="360" w:lineRule="auto"/>
              <w:contextualSpacing/>
              <w:jc w:val="both"/>
              <w:rPr>
                <w:rFonts w:asciiTheme="minorHAnsi" w:eastAsia="Calibri" w:hAnsiTheme="minorHAnsi"/>
                <w:spacing w:val="0"/>
                <w:sz w:val="22"/>
                <w:szCs w:val="22"/>
              </w:rPr>
            </w:pPr>
            <w:r w:rsidRPr="000120EA">
              <w:rPr>
                <w:rFonts w:asciiTheme="minorHAnsi" w:eastAsia="Calibri" w:hAnsiTheme="minorHAnsi"/>
                <w:spacing w:val="0"/>
                <w:sz w:val="22"/>
                <w:szCs w:val="22"/>
              </w:rPr>
              <w:t xml:space="preserve">Para confirmação de que a operação gera, ou não, receita líquida de exploração positiva deve, numa primeira fase, ser acautelado o </w:t>
            </w:r>
            <w:r w:rsidRPr="00CB0970">
              <w:rPr>
                <w:rFonts w:asciiTheme="minorHAnsi" w:eastAsia="Calibri" w:hAnsiTheme="minorHAnsi"/>
                <w:b/>
                <w:spacing w:val="0"/>
                <w:sz w:val="22"/>
                <w:szCs w:val="22"/>
                <w:u w:val="single"/>
              </w:rPr>
              <w:t>preenchimento dos mapas</w:t>
            </w:r>
            <w:r w:rsidR="00CB0970" w:rsidRPr="00CB0970">
              <w:rPr>
                <w:rFonts w:asciiTheme="minorHAnsi" w:eastAsia="Calibri" w:hAnsiTheme="minorHAnsi"/>
                <w:b/>
                <w:spacing w:val="0"/>
                <w:sz w:val="22"/>
                <w:szCs w:val="22"/>
                <w:u w:val="single"/>
              </w:rPr>
              <w:t xml:space="preserve"> I, I.1,</w:t>
            </w:r>
            <w:r w:rsidRPr="00CB0970">
              <w:rPr>
                <w:rFonts w:asciiTheme="minorHAnsi" w:eastAsia="Calibri" w:hAnsiTheme="minorHAnsi"/>
                <w:b/>
                <w:spacing w:val="0"/>
                <w:sz w:val="22"/>
                <w:szCs w:val="22"/>
                <w:u w:val="single"/>
              </w:rPr>
              <w:t xml:space="preserve"> I.2</w:t>
            </w:r>
            <w:r w:rsidR="00CB0970" w:rsidRPr="00CB0970">
              <w:rPr>
                <w:rFonts w:asciiTheme="minorHAnsi" w:eastAsia="Calibri" w:hAnsiTheme="minorHAnsi"/>
                <w:b/>
                <w:spacing w:val="0"/>
                <w:sz w:val="22"/>
                <w:szCs w:val="22"/>
                <w:u w:val="single"/>
              </w:rPr>
              <w:t xml:space="preserve"> e </w:t>
            </w:r>
            <w:r w:rsidRPr="00CB0970">
              <w:rPr>
                <w:rFonts w:asciiTheme="minorHAnsi" w:eastAsia="Calibri" w:hAnsiTheme="minorHAnsi"/>
                <w:b/>
                <w:spacing w:val="0"/>
                <w:sz w:val="22"/>
                <w:szCs w:val="22"/>
                <w:u w:val="single"/>
              </w:rPr>
              <w:t>I.</w:t>
            </w:r>
            <w:proofErr w:type="gramStart"/>
            <w:r w:rsidRPr="00CB0970">
              <w:rPr>
                <w:rFonts w:asciiTheme="minorHAnsi" w:eastAsia="Calibri" w:hAnsiTheme="minorHAnsi"/>
                <w:b/>
                <w:spacing w:val="0"/>
                <w:sz w:val="22"/>
                <w:szCs w:val="22"/>
                <w:u w:val="single"/>
              </w:rPr>
              <w:t>3</w:t>
            </w:r>
            <w:r w:rsidR="00CB0970">
              <w:rPr>
                <w:rFonts w:asciiTheme="minorHAnsi" w:eastAsia="Calibri" w:hAnsiTheme="minorHAnsi"/>
                <w:b/>
                <w:spacing w:val="0"/>
                <w:sz w:val="22"/>
                <w:szCs w:val="22"/>
                <w:u w:val="single"/>
              </w:rPr>
              <w:t xml:space="preserve"> </w:t>
            </w:r>
            <w:r w:rsidRPr="000120EA">
              <w:rPr>
                <w:rFonts w:asciiTheme="minorHAnsi" w:eastAsia="Calibri" w:hAnsiTheme="minorHAnsi"/>
                <w:spacing w:val="0"/>
                <w:sz w:val="22"/>
                <w:szCs w:val="22"/>
              </w:rPr>
              <w:t>,</w:t>
            </w:r>
            <w:proofErr w:type="gramEnd"/>
            <w:r w:rsidRPr="000120EA">
              <w:rPr>
                <w:rFonts w:asciiTheme="minorHAnsi" w:eastAsia="Calibri" w:hAnsiTheme="minorHAnsi"/>
                <w:spacing w:val="0"/>
                <w:sz w:val="22"/>
                <w:szCs w:val="22"/>
              </w:rPr>
              <w:t xml:space="preserve"> relativos à projeção de receitas e de custos de exploração, e a </w:t>
            </w:r>
            <w:r w:rsidRPr="00CB0970">
              <w:rPr>
                <w:rFonts w:asciiTheme="minorHAnsi" w:eastAsia="Calibri" w:hAnsiTheme="minorHAnsi"/>
                <w:b/>
                <w:spacing w:val="0"/>
                <w:sz w:val="22"/>
                <w:szCs w:val="22"/>
                <w:u w:val="single"/>
              </w:rPr>
              <w:t>consolidação do cash-flow de exploração de acordo com o mapa II</w:t>
            </w:r>
            <w:r w:rsidR="009D66B1">
              <w:rPr>
                <w:rFonts w:asciiTheme="minorHAnsi" w:eastAsia="Calibri" w:hAnsiTheme="minorHAnsi"/>
                <w:spacing w:val="0"/>
                <w:sz w:val="22"/>
                <w:szCs w:val="22"/>
                <w:u w:val="single"/>
              </w:rPr>
              <w:t>.</w:t>
            </w:r>
          </w:p>
          <w:p w14:paraId="035322FF" w14:textId="77777777" w:rsidR="00CB0970" w:rsidRPr="00CB0970" w:rsidRDefault="00CB0970" w:rsidP="00CB0970">
            <w:pPr>
              <w:numPr>
                <w:ilvl w:val="0"/>
                <w:numId w:val="25"/>
              </w:numPr>
              <w:spacing w:before="120" w:after="120" w:line="360" w:lineRule="auto"/>
              <w:contextualSpacing/>
              <w:jc w:val="both"/>
              <w:rPr>
                <w:rFonts w:asciiTheme="minorHAnsi" w:eastAsia="Calibri" w:hAnsiTheme="minorHAnsi"/>
                <w:spacing w:val="0"/>
                <w:sz w:val="22"/>
                <w:szCs w:val="22"/>
              </w:rPr>
            </w:pPr>
            <w:r w:rsidRPr="000120EA">
              <w:rPr>
                <w:rFonts w:asciiTheme="minorHAnsi" w:eastAsia="Calibri" w:hAnsiTheme="minorHAnsi"/>
                <w:spacing w:val="0"/>
                <w:sz w:val="22"/>
                <w:szCs w:val="22"/>
              </w:rPr>
              <w:t>Confirmando-se que a operação gera receita líquida de exploração positiva, enquadrando-se como tal no artigo 61º do º do Regulamento (UE) nº 1303/2013,de 17 de dezembro de 2013</w:t>
            </w:r>
            <w:r>
              <w:rPr>
                <w:rFonts w:asciiTheme="minorHAnsi" w:eastAsia="Calibri" w:hAnsiTheme="minorHAnsi"/>
                <w:spacing w:val="0"/>
                <w:sz w:val="22"/>
                <w:szCs w:val="22"/>
              </w:rPr>
              <w:t>,</w:t>
            </w:r>
            <w:r w:rsidRPr="000120EA">
              <w:rPr>
                <w:rFonts w:asciiTheme="minorHAnsi" w:eastAsia="Calibri" w:hAnsiTheme="minorHAnsi"/>
                <w:spacing w:val="0"/>
                <w:sz w:val="22"/>
                <w:szCs w:val="22"/>
              </w:rPr>
              <w:t xml:space="preserve"> deve ser assegurado o preenchimento dos restantes mapas, a saber</w:t>
            </w:r>
            <w:r>
              <w:rPr>
                <w:rFonts w:asciiTheme="minorHAnsi" w:eastAsia="Calibri" w:hAnsiTheme="minorHAnsi"/>
                <w:spacing w:val="0"/>
                <w:sz w:val="22"/>
                <w:szCs w:val="22"/>
              </w:rPr>
              <w:t xml:space="preserve">, </w:t>
            </w:r>
            <w:r w:rsidRPr="00CB0970">
              <w:rPr>
                <w:rFonts w:asciiTheme="minorHAnsi" w:eastAsia="Calibri" w:hAnsiTheme="minorHAnsi"/>
                <w:b/>
                <w:spacing w:val="0"/>
                <w:sz w:val="22"/>
                <w:szCs w:val="22"/>
              </w:rPr>
              <w:t>o mapa III</w:t>
            </w:r>
            <w:r w:rsidRPr="009D66B1">
              <w:rPr>
                <w:rFonts w:asciiTheme="minorHAnsi" w:eastAsia="Calibri" w:hAnsiTheme="minorHAnsi"/>
                <w:spacing w:val="0"/>
                <w:sz w:val="22"/>
                <w:szCs w:val="22"/>
              </w:rPr>
              <w:t xml:space="preserve">, para aferição da percentagem de défice de financiamento aplicável à operação, assim como os </w:t>
            </w:r>
            <w:r w:rsidRPr="00CB0970">
              <w:rPr>
                <w:rFonts w:asciiTheme="minorHAnsi" w:eastAsia="Calibri" w:hAnsiTheme="minorHAnsi"/>
                <w:b/>
                <w:spacing w:val="0"/>
                <w:sz w:val="22"/>
                <w:szCs w:val="22"/>
              </w:rPr>
              <w:t>mapas IV</w:t>
            </w:r>
            <w:r w:rsidRPr="009D66B1">
              <w:rPr>
                <w:rFonts w:asciiTheme="minorHAnsi" w:eastAsia="Calibri" w:hAnsiTheme="minorHAnsi"/>
                <w:spacing w:val="0"/>
                <w:sz w:val="22"/>
                <w:szCs w:val="22"/>
              </w:rPr>
              <w:t xml:space="preserve"> para confirmação da sustentabilidade do investimento.</w:t>
            </w:r>
          </w:p>
          <w:p w14:paraId="2772391A" w14:textId="06EFE632" w:rsidR="007F2404" w:rsidRPr="004F0986" w:rsidRDefault="007F2404" w:rsidP="004F0986">
            <w:pPr>
              <w:numPr>
                <w:ilvl w:val="0"/>
                <w:numId w:val="25"/>
              </w:numPr>
              <w:spacing w:before="120" w:after="120" w:line="360" w:lineRule="auto"/>
              <w:contextualSpacing/>
              <w:jc w:val="both"/>
              <w:rPr>
                <w:rFonts w:asciiTheme="minorHAnsi" w:eastAsia="Calibri" w:hAnsiTheme="minorHAnsi"/>
                <w:spacing w:val="0"/>
                <w:sz w:val="22"/>
                <w:szCs w:val="22"/>
              </w:rPr>
            </w:pPr>
            <w:r>
              <w:rPr>
                <w:rFonts w:asciiTheme="minorHAnsi" w:eastAsia="Calibri" w:hAnsiTheme="minorHAnsi"/>
                <w:spacing w:val="0"/>
                <w:sz w:val="22"/>
                <w:szCs w:val="22"/>
              </w:rPr>
              <w:t>C</w:t>
            </w:r>
            <w:r w:rsidRPr="000120EA">
              <w:rPr>
                <w:rFonts w:asciiTheme="minorHAnsi" w:eastAsia="Calibri" w:hAnsiTheme="minorHAnsi"/>
                <w:spacing w:val="0"/>
                <w:sz w:val="22"/>
                <w:szCs w:val="22"/>
              </w:rPr>
              <w:t xml:space="preserve">aso a operação se revele geradora de receita líquida de exploração negativa, uma vez confirmados os pressupostos subjacentes, a operação não se enquadra no artigo 61º do Regulamento (UE) nº </w:t>
            </w:r>
            <w:r w:rsidRPr="000120EA">
              <w:rPr>
                <w:rFonts w:asciiTheme="minorHAnsi" w:eastAsia="Calibri" w:hAnsiTheme="minorHAnsi"/>
                <w:spacing w:val="0"/>
                <w:sz w:val="22"/>
                <w:szCs w:val="22"/>
              </w:rPr>
              <w:lastRenderedPageBreak/>
              <w:t>1303/2013,de 17 de dezembro de 2013 pelo que não é necessária qualquer análise suplementar</w:t>
            </w:r>
            <w:r w:rsidR="009D66B1">
              <w:rPr>
                <w:rFonts w:asciiTheme="minorHAnsi" w:eastAsia="Calibri" w:hAnsiTheme="minorHAnsi"/>
                <w:spacing w:val="0"/>
                <w:sz w:val="22"/>
                <w:szCs w:val="22"/>
              </w:rPr>
              <w:t xml:space="preserve">, para além da </w:t>
            </w:r>
            <w:r w:rsidR="009D66B1" w:rsidRPr="009D66B1">
              <w:rPr>
                <w:rFonts w:asciiTheme="minorHAnsi" w:eastAsia="Calibri" w:hAnsiTheme="minorHAnsi"/>
                <w:spacing w:val="0"/>
                <w:sz w:val="22"/>
                <w:szCs w:val="22"/>
              </w:rPr>
              <w:t xml:space="preserve">demonstração da sustentabilidade financeira do investimento, </w:t>
            </w:r>
            <w:r w:rsidR="00114DD1">
              <w:rPr>
                <w:rFonts w:asciiTheme="minorHAnsi" w:eastAsia="Calibri" w:hAnsiTheme="minorHAnsi"/>
                <w:spacing w:val="0"/>
                <w:sz w:val="22"/>
                <w:szCs w:val="22"/>
              </w:rPr>
              <w:t>em conformidade com o descrito no ponto 2.4</w:t>
            </w:r>
            <w:r w:rsidR="004F0986">
              <w:rPr>
                <w:rFonts w:asciiTheme="minorHAnsi" w:eastAsia="Calibri" w:hAnsiTheme="minorHAnsi"/>
                <w:b/>
                <w:spacing w:val="0"/>
                <w:sz w:val="22"/>
                <w:szCs w:val="22"/>
              </w:rPr>
              <w:t xml:space="preserve">. </w:t>
            </w:r>
            <w:r w:rsidR="004F0986" w:rsidRPr="004F0986">
              <w:rPr>
                <w:rFonts w:asciiTheme="minorHAnsi" w:eastAsia="Calibri" w:hAnsiTheme="minorHAnsi"/>
                <w:spacing w:val="0"/>
                <w:sz w:val="22"/>
                <w:szCs w:val="22"/>
              </w:rPr>
              <w:t xml:space="preserve">No caso dos </w:t>
            </w:r>
            <w:r w:rsidR="004F0986" w:rsidRPr="004F0986">
              <w:rPr>
                <w:rFonts w:asciiTheme="minorHAnsi" w:eastAsia="Calibri" w:hAnsiTheme="minorHAnsi"/>
                <w:b/>
                <w:spacing w:val="0"/>
                <w:sz w:val="22"/>
                <w:szCs w:val="22"/>
              </w:rPr>
              <w:t>Grandes Projetos</w:t>
            </w:r>
            <w:r w:rsidR="004F0986" w:rsidRPr="004F0986">
              <w:rPr>
                <w:rFonts w:asciiTheme="minorHAnsi" w:eastAsia="Calibri" w:hAnsiTheme="minorHAnsi"/>
                <w:spacing w:val="0"/>
                <w:sz w:val="22"/>
                <w:szCs w:val="22"/>
              </w:rPr>
              <w:t xml:space="preserve"> deverão ser efetuados todos</w:t>
            </w:r>
            <w:r w:rsidR="004F0986">
              <w:rPr>
                <w:rFonts w:asciiTheme="minorHAnsi" w:eastAsia="Calibri" w:hAnsiTheme="minorHAnsi"/>
                <w:spacing w:val="0"/>
                <w:sz w:val="22"/>
                <w:szCs w:val="22"/>
              </w:rPr>
              <w:t xml:space="preserve"> os apuramentos necessários à avaliação da</w:t>
            </w:r>
            <w:r w:rsidR="004F0986" w:rsidRPr="004F0986">
              <w:rPr>
                <w:rFonts w:asciiTheme="minorHAnsi" w:eastAsia="Calibri" w:hAnsiTheme="minorHAnsi"/>
                <w:spacing w:val="0"/>
                <w:sz w:val="22"/>
                <w:szCs w:val="22"/>
              </w:rPr>
              <w:t xml:space="preserve"> rentabilidade financeira do investimento</w:t>
            </w:r>
            <w:r w:rsidR="004F0986">
              <w:rPr>
                <w:rFonts w:asciiTheme="minorHAnsi" w:eastAsia="Calibri" w:hAnsiTheme="minorHAnsi"/>
                <w:spacing w:val="0"/>
                <w:sz w:val="22"/>
                <w:szCs w:val="22"/>
              </w:rPr>
              <w:t xml:space="preserve">, através do preenchimento do </w:t>
            </w:r>
            <w:r w:rsidR="004F0986" w:rsidRPr="004F0986">
              <w:rPr>
                <w:rFonts w:asciiTheme="minorHAnsi" w:eastAsia="Calibri" w:hAnsiTheme="minorHAnsi"/>
                <w:b/>
                <w:spacing w:val="0"/>
                <w:sz w:val="22"/>
                <w:szCs w:val="22"/>
              </w:rPr>
              <w:t>mapa III</w:t>
            </w:r>
            <w:r w:rsidR="004F0986">
              <w:rPr>
                <w:rFonts w:asciiTheme="minorHAnsi" w:eastAsia="Calibri" w:hAnsiTheme="minorHAnsi"/>
                <w:spacing w:val="0"/>
                <w:sz w:val="22"/>
                <w:szCs w:val="22"/>
              </w:rPr>
              <w:t>.</w:t>
            </w:r>
            <w:r w:rsidR="004F0986" w:rsidRPr="004F0986">
              <w:rPr>
                <w:rFonts w:asciiTheme="minorHAnsi" w:eastAsia="Calibri" w:hAnsiTheme="minorHAnsi"/>
                <w:spacing w:val="0"/>
                <w:sz w:val="22"/>
                <w:szCs w:val="22"/>
              </w:rPr>
              <w:t xml:space="preserve"> </w:t>
            </w:r>
          </w:p>
          <w:p w14:paraId="64055138" w14:textId="77777777" w:rsidR="007F2404" w:rsidRPr="000120EA" w:rsidRDefault="007F2404" w:rsidP="00305028">
            <w:pPr>
              <w:numPr>
                <w:ilvl w:val="0"/>
                <w:numId w:val="25"/>
              </w:numPr>
              <w:spacing w:before="120" w:after="120" w:line="360" w:lineRule="auto"/>
              <w:contextualSpacing/>
              <w:jc w:val="both"/>
              <w:rPr>
                <w:rFonts w:asciiTheme="minorHAnsi" w:eastAsia="Calibri" w:hAnsiTheme="minorHAnsi"/>
                <w:spacing w:val="0"/>
                <w:sz w:val="22"/>
                <w:szCs w:val="22"/>
              </w:rPr>
            </w:pPr>
            <w:r w:rsidRPr="000120EA">
              <w:rPr>
                <w:rFonts w:asciiTheme="minorHAnsi" w:eastAsia="Calibri" w:hAnsiTheme="minorHAnsi"/>
                <w:spacing w:val="0"/>
                <w:sz w:val="22"/>
                <w:szCs w:val="22"/>
              </w:rPr>
              <w:t>Em qualquer dos casos, as análises a apresentar</w:t>
            </w:r>
            <w:proofErr w:type="gramStart"/>
            <w:r w:rsidRPr="000120EA">
              <w:rPr>
                <w:rFonts w:asciiTheme="minorHAnsi" w:eastAsia="Calibri" w:hAnsiTheme="minorHAnsi"/>
                <w:spacing w:val="0"/>
                <w:sz w:val="22"/>
                <w:szCs w:val="22"/>
              </w:rPr>
              <w:t>,</w:t>
            </w:r>
            <w:proofErr w:type="gramEnd"/>
            <w:r w:rsidRPr="000120EA">
              <w:rPr>
                <w:rFonts w:asciiTheme="minorHAnsi" w:eastAsia="Calibri" w:hAnsiTheme="minorHAnsi"/>
                <w:spacing w:val="0"/>
                <w:sz w:val="22"/>
                <w:szCs w:val="22"/>
              </w:rPr>
              <w:t xml:space="preserve"> devem ser acompanhadas da </w:t>
            </w:r>
            <w:r w:rsidRPr="00CB0970">
              <w:rPr>
                <w:rFonts w:asciiTheme="minorHAnsi" w:eastAsia="Calibri" w:hAnsiTheme="minorHAnsi"/>
                <w:b/>
                <w:spacing w:val="0"/>
                <w:sz w:val="22"/>
                <w:szCs w:val="22"/>
              </w:rPr>
              <w:t>memória descritiva</w:t>
            </w:r>
            <w:r w:rsidRPr="000120EA">
              <w:rPr>
                <w:rFonts w:asciiTheme="minorHAnsi" w:eastAsia="Calibri" w:hAnsiTheme="minorHAnsi"/>
                <w:spacing w:val="0"/>
                <w:sz w:val="22"/>
                <w:szCs w:val="22"/>
              </w:rPr>
              <w:t xml:space="preserve"> de base às conclusões encontradas</w:t>
            </w:r>
            <w:r w:rsidR="009D66B1">
              <w:rPr>
                <w:rFonts w:asciiTheme="minorHAnsi" w:eastAsia="Calibri" w:hAnsiTheme="minorHAnsi"/>
                <w:spacing w:val="0"/>
                <w:sz w:val="22"/>
                <w:szCs w:val="22"/>
              </w:rPr>
              <w:t xml:space="preserve">, devendo ser elencadas no </w:t>
            </w:r>
            <w:r w:rsidR="009D66B1" w:rsidRPr="00CB0970">
              <w:rPr>
                <w:rFonts w:asciiTheme="minorHAnsi" w:eastAsia="Calibri" w:hAnsiTheme="minorHAnsi"/>
                <w:b/>
                <w:spacing w:val="0"/>
                <w:sz w:val="22"/>
                <w:szCs w:val="22"/>
              </w:rPr>
              <w:t>mapa I do Anexo I</w:t>
            </w:r>
            <w:r w:rsidR="00E464D1">
              <w:rPr>
                <w:rFonts w:asciiTheme="minorHAnsi" w:eastAsia="Calibri" w:hAnsiTheme="minorHAnsi"/>
                <w:spacing w:val="0"/>
                <w:sz w:val="22"/>
                <w:szCs w:val="22"/>
              </w:rPr>
              <w:t xml:space="preserve"> </w:t>
            </w:r>
            <w:r w:rsidR="009D66B1">
              <w:rPr>
                <w:rFonts w:asciiTheme="minorHAnsi" w:eastAsia="Calibri" w:hAnsiTheme="minorHAnsi"/>
                <w:spacing w:val="0"/>
                <w:sz w:val="22"/>
                <w:szCs w:val="22"/>
              </w:rPr>
              <w:t xml:space="preserve">todas as fontes de informação que suportam os pressupostos assumidos, devendo igualmente ser remetida todas as </w:t>
            </w:r>
            <w:r w:rsidR="00E464D1">
              <w:rPr>
                <w:rFonts w:asciiTheme="minorHAnsi" w:eastAsia="Calibri" w:hAnsiTheme="minorHAnsi"/>
                <w:spacing w:val="0"/>
                <w:sz w:val="22"/>
                <w:szCs w:val="22"/>
              </w:rPr>
              <w:t>e</w:t>
            </w:r>
            <w:r w:rsidR="009D66B1">
              <w:rPr>
                <w:rFonts w:asciiTheme="minorHAnsi" w:eastAsia="Calibri" w:hAnsiTheme="minorHAnsi"/>
                <w:spacing w:val="0"/>
                <w:sz w:val="22"/>
                <w:szCs w:val="22"/>
              </w:rPr>
              <w:t>vidências documentais relevantes para este efeito.</w:t>
            </w:r>
          </w:p>
        </w:tc>
      </w:tr>
    </w:tbl>
    <w:p w14:paraId="7F26A2A7" w14:textId="77777777" w:rsidR="00E464D1" w:rsidRDefault="00E464D1" w:rsidP="00A542C9">
      <w:pPr>
        <w:spacing w:before="120" w:after="120" w:line="360" w:lineRule="auto"/>
        <w:ind w:left="0"/>
        <w:rPr>
          <w:rFonts w:asciiTheme="minorHAnsi" w:hAnsiTheme="minorHAnsi"/>
          <w:sz w:val="22"/>
          <w:szCs w:val="22"/>
        </w:rPr>
      </w:pPr>
    </w:p>
    <w:p w14:paraId="083AE692" w14:textId="424DB7C9" w:rsidR="00A542C9" w:rsidRDefault="00A542C9" w:rsidP="00A542C9">
      <w:pPr>
        <w:spacing w:before="120" w:after="120" w:line="360" w:lineRule="auto"/>
        <w:ind w:left="0"/>
        <w:rPr>
          <w:rFonts w:asciiTheme="minorHAnsi" w:hAnsiTheme="minorHAnsi"/>
          <w:sz w:val="22"/>
          <w:szCs w:val="22"/>
        </w:rPr>
      </w:pPr>
      <w:r w:rsidRPr="000120EA">
        <w:rPr>
          <w:rFonts w:asciiTheme="minorHAnsi" w:hAnsiTheme="minorHAnsi"/>
          <w:sz w:val="22"/>
          <w:szCs w:val="22"/>
        </w:rPr>
        <w:t>Todos os montantes terão que ser apurados com base em preços constantes do primeiro ano de investimento (ano base) e</w:t>
      </w:r>
      <w:r w:rsidR="00F13BFB">
        <w:rPr>
          <w:rFonts w:asciiTheme="minorHAnsi" w:hAnsiTheme="minorHAnsi"/>
          <w:sz w:val="22"/>
          <w:szCs w:val="22"/>
        </w:rPr>
        <w:t>, de seguida,</w:t>
      </w:r>
      <w:r w:rsidRPr="000120EA">
        <w:rPr>
          <w:rFonts w:asciiTheme="minorHAnsi" w:hAnsiTheme="minorHAnsi"/>
          <w:sz w:val="22"/>
          <w:szCs w:val="22"/>
        </w:rPr>
        <w:t xml:space="preserve"> descontados para o ano base à taxa de 4%.</w:t>
      </w:r>
    </w:p>
    <w:p w14:paraId="56AC12EE" w14:textId="77777777" w:rsidR="00A542C9" w:rsidRDefault="00A542C9" w:rsidP="00A542C9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Neste contexto, os custos de substituição deverão ser acrescidos enquanto custos de exploração.</w:t>
      </w:r>
    </w:p>
    <w:p w14:paraId="225F0E87" w14:textId="77777777" w:rsidR="00A542C9" w:rsidRDefault="00A542C9" w:rsidP="00A542C9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 referir também que, nas situações em que a operação se demonstre geradora de receita líquida de exploração negativa, o montante apurado de valor residual não será considerado para o cálculo do défice de financiamento da operação, assumindo-se que o mesmo é zero.</w:t>
      </w:r>
    </w:p>
    <w:p w14:paraId="33BD1142" w14:textId="77777777" w:rsidR="00F34B24" w:rsidRPr="000120EA" w:rsidRDefault="00A542C9" w:rsidP="009E4B0E">
      <w:pPr>
        <w:spacing w:before="120" w:after="120" w:line="360" w:lineRule="auto"/>
        <w:ind w:left="29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O valor residual do investimento deve, </w:t>
      </w:r>
      <w:r w:rsidR="004F0986">
        <w:rPr>
          <w:rFonts w:asciiTheme="minorHAnsi" w:hAnsiTheme="minorHAnsi"/>
          <w:sz w:val="22"/>
          <w:szCs w:val="22"/>
        </w:rPr>
        <w:t>sempre que aplicável</w:t>
      </w:r>
      <w:r>
        <w:rPr>
          <w:rFonts w:asciiTheme="minorHAnsi" w:hAnsiTheme="minorHAnsi"/>
          <w:sz w:val="22"/>
          <w:szCs w:val="22"/>
        </w:rPr>
        <w:t>, ser apurado para efeitos da avaliação da rentabilidade financeira do investimento. Neste sentido, e na situação particular das operações não geradoras de receitas</w:t>
      </w:r>
      <w:r>
        <w:rPr>
          <w:rStyle w:val="Refdenotaderodap"/>
          <w:rFonts w:asciiTheme="minorHAnsi" w:hAnsiTheme="minorHAnsi"/>
          <w:sz w:val="22"/>
          <w:szCs w:val="22"/>
        </w:rPr>
        <w:footnoteReference w:id="8"/>
      </w:r>
      <w:r w:rsidR="00095A7D">
        <w:rPr>
          <w:rFonts w:asciiTheme="minorHAnsi" w:hAnsiTheme="minorHAnsi"/>
          <w:sz w:val="22"/>
          <w:szCs w:val="22"/>
        </w:rPr>
        <w:t xml:space="preserve">, o ponto 2.7.3 do </w:t>
      </w:r>
      <w:r w:rsidR="00095A7D" w:rsidRPr="002A539E">
        <w:rPr>
          <w:rFonts w:asciiTheme="minorHAnsi" w:hAnsiTheme="minorHAnsi"/>
          <w:i/>
          <w:sz w:val="22"/>
          <w:szCs w:val="22"/>
        </w:rPr>
        <w:t xml:space="preserve">“Guide to </w:t>
      </w:r>
      <w:proofErr w:type="spellStart"/>
      <w:r w:rsidR="00095A7D" w:rsidRPr="002A539E">
        <w:rPr>
          <w:rFonts w:asciiTheme="minorHAnsi" w:hAnsiTheme="minorHAnsi"/>
          <w:i/>
          <w:sz w:val="22"/>
          <w:szCs w:val="22"/>
        </w:rPr>
        <w:t>Cost-B</w:t>
      </w:r>
      <w:r w:rsidRPr="002A539E">
        <w:rPr>
          <w:rFonts w:asciiTheme="minorHAnsi" w:hAnsiTheme="minorHAnsi"/>
          <w:i/>
          <w:sz w:val="22"/>
          <w:szCs w:val="22"/>
        </w:rPr>
        <w:t>enefit</w:t>
      </w:r>
      <w:proofErr w:type="spellEnd"/>
      <w:r w:rsidRPr="002A539E">
        <w:rPr>
          <w:rFonts w:asciiTheme="minorHAnsi" w:hAnsiTheme="minorHAnsi"/>
          <w:i/>
          <w:sz w:val="22"/>
          <w:szCs w:val="22"/>
        </w:rPr>
        <w:t xml:space="preserve"> </w:t>
      </w:r>
      <w:proofErr w:type="spellStart"/>
      <w:r w:rsidRPr="002A539E">
        <w:rPr>
          <w:rFonts w:asciiTheme="minorHAnsi" w:hAnsiTheme="minorHAnsi"/>
          <w:i/>
          <w:sz w:val="22"/>
          <w:szCs w:val="22"/>
        </w:rPr>
        <w:t>Analysis</w:t>
      </w:r>
      <w:proofErr w:type="spellEnd"/>
      <w:r w:rsidRPr="002A539E">
        <w:rPr>
          <w:rFonts w:asciiTheme="minorHAnsi" w:hAnsiTheme="minorHAnsi"/>
          <w:i/>
          <w:sz w:val="22"/>
          <w:szCs w:val="22"/>
        </w:rPr>
        <w:t xml:space="preserve"> </w:t>
      </w:r>
      <w:proofErr w:type="spellStart"/>
      <w:r w:rsidRPr="002A539E">
        <w:rPr>
          <w:rFonts w:asciiTheme="minorHAnsi" w:hAnsiTheme="minorHAnsi"/>
          <w:i/>
          <w:sz w:val="22"/>
          <w:szCs w:val="22"/>
        </w:rPr>
        <w:t>of</w:t>
      </w:r>
      <w:proofErr w:type="spellEnd"/>
      <w:r w:rsidRPr="002A539E">
        <w:rPr>
          <w:rFonts w:asciiTheme="minorHAnsi" w:hAnsiTheme="minorHAnsi"/>
          <w:i/>
          <w:sz w:val="22"/>
          <w:szCs w:val="22"/>
        </w:rPr>
        <w:t xml:space="preserve"> </w:t>
      </w:r>
      <w:proofErr w:type="spellStart"/>
      <w:r w:rsidRPr="002A539E">
        <w:rPr>
          <w:rFonts w:asciiTheme="minorHAnsi" w:hAnsiTheme="minorHAnsi"/>
          <w:i/>
          <w:sz w:val="22"/>
          <w:szCs w:val="22"/>
        </w:rPr>
        <w:t>Investment</w:t>
      </w:r>
      <w:proofErr w:type="spellEnd"/>
      <w:r w:rsidRPr="002A539E">
        <w:rPr>
          <w:rFonts w:asciiTheme="minorHAnsi" w:hAnsiTheme="minorHAnsi"/>
          <w:i/>
          <w:sz w:val="22"/>
          <w:szCs w:val="22"/>
        </w:rPr>
        <w:t xml:space="preserve"> </w:t>
      </w:r>
      <w:proofErr w:type="spellStart"/>
      <w:r w:rsidRPr="002A539E">
        <w:rPr>
          <w:rFonts w:asciiTheme="minorHAnsi" w:hAnsiTheme="minorHAnsi"/>
          <w:i/>
          <w:sz w:val="22"/>
          <w:szCs w:val="22"/>
        </w:rPr>
        <w:t>Projects</w:t>
      </w:r>
      <w:proofErr w:type="spellEnd"/>
      <w:r w:rsidRPr="002A539E">
        <w:rPr>
          <w:rFonts w:asciiTheme="minorHAnsi" w:hAnsiTheme="minorHAnsi"/>
          <w:i/>
          <w:sz w:val="22"/>
          <w:szCs w:val="22"/>
        </w:rPr>
        <w:t xml:space="preserve"> – </w:t>
      </w:r>
      <w:proofErr w:type="spellStart"/>
      <w:r w:rsidRPr="002A539E">
        <w:rPr>
          <w:rFonts w:asciiTheme="minorHAnsi" w:hAnsiTheme="minorHAnsi"/>
          <w:i/>
          <w:sz w:val="22"/>
          <w:szCs w:val="22"/>
        </w:rPr>
        <w:t>December</w:t>
      </w:r>
      <w:proofErr w:type="spellEnd"/>
      <w:r w:rsidRPr="002A539E">
        <w:rPr>
          <w:rFonts w:asciiTheme="minorHAnsi" w:hAnsiTheme="minorHAnsi"/>
          <w:i/>
          <w:sz w:val="22"/>
          <w:szCs w:val="22"/>
        </w:rPr>
        <w:t xml:space="preserve"> 2014</w:t>
      </w:r>
      <w:r w:rsidR="00095A7D" w:rsidRPr="002A539E">
        <w:rPr>
          <w:rFonts w:asciiTheme="minorHAnsi" w:hAnsiTheme="minorHAnsi"/>
          <w:i/>
          <w:sz w:val="22"/>
          <w:szCs w:val="22"/>
        </w:rPr>
        <w:t xml:space="preserve">”, </w:t>
      </w:r>
      <w:r w:rsidR="00095A7D">
        <w:rPr>
          <w:rFonts w:asciiTheme="minorHAnsi" w:hAnsiTheme="minorHAnsi"/>
          <w:sz w:val="22"/>
          <w:szCs w:val="22"/>
        </w:rPr>
        <w:t>da Comissão, não considera adequado o apuramento do valor residual tendo subjacente</w:t>
      </w:r>
      <w:r w:rsidR="00095A7D" w:rsidRPr="004F0986">
        <w:rPr>
          <w:rFonts w:asciiTheme="minorHAnsi" w:hAnsiTheme="minorHAnsi"/>
          <w:sz w:val="22"/>
          <w:szCs w:val="22"/>
        </w:rPr>
        <w:t xml:space="preserve"> o </w:t>
      </w:r>
      <w:r w:rsidR="00095A7D" w:rsidRPr="00095A7D">
        <w:rPr>
          <w:rFonts w:asciiTheme="minorHAnsi" w:hAnsiTheme="minorHAnsi"/>
          <w:sz w:val="22"/>
          <w:szCs w:val="22"/>
        </w:rPr>
        <w:t xml:space="preserve">método dos </w:t>
      </w:r>
      <w:r w:rsidR="00095A7D" w:rsidRPr="002A539E">
        <w:rPr>
          <w:rFonts w:asciiTheme="minorHAnsi" w:hAnsiTheme="minorHAnsi"/>
          <w:i/>
          <w:sz w:val="22"/>
          <w:szCs w:val="22"/>
        </w:rPr>
        <w:t xml:space="preserve">cash-flows </w:t>
      </w:r>
      <w:r w:rsidR="00095A7D" w:rsidRPr="00095A7D">
        <w:rPr>
          <w:rFonts w:asciiTheme="minorHAnsi" w:hAnsiTheme="minorHAnsi"/>
          <w:sz w:val="22"/>
          <w:szCs w:val="22"/>
        </w:rPr>
        <w:t>atualizados</w:t>
      </w:r>
      <w:r w:rsidR="00095A7D">
        <w:rPr>
          <w:rFonts w:asciiTheme="minorHAnsi" w:hAnsiTheme="minorHAnsi"/>
          <w:sz w:val="22"/>
          <w:szCs w:val="22"/>
        </w:rPr>
        <w:t>, referido no ponto 2.2 anterior, favorecendo a utilização de um dos métodos de apuramento alternativos</w:t>
      </w:r>
      <w:r w:rsidR="007B57FD">
        <w:rPr>
          <w:rFonts w:asciiTheme="minorHAnsi" w:hAnsiTheme="minorHAnsi"/>
          <w:sz w:val="22"/>
          <w:szCs w:val="22"/>
        </w:rPr>
        <w:t>.</w:t>
      </w:r>
    </w:p>
    <w:p w14:paraId="3A907F2C" w14:textId="546B9D11" w:rsidR="00F13BFB" w:rsidRDefault="00F13BFB">
      <w:pPr>
        <w:ind w:left="0"/>
        <w:rPr>
          <w:rFonts w:asciiTheme="minorHAnsi" w:hAnsiTheme="minorHAnsi"/>
          <w:b/>
          <w:color w:val="4BACC6" w:themeColor="accent5"/>
        </w:rPr>
      </w:pPr>
      <w:r>
        <w:rPr>
          <w:rFonts w:asciiTheme="minorHAnsi" w:hAnsiTheme="minorHAnsi"/>
          <w:b/>
          <w:color w:val="4BACC6" w:themeColor="accent5"/>
        </w:rPr>
        <w:br w:type="page"/>
      </w:r>
    </w:p>
    <w:p w14:paraId="34909BB7" w14:textId="77777777" w:rsidR="006136D0" w:rsidRPr="009D51E4" w:rsidRDefault="006136D0" w:rsidP="009D51E4">
      <w:pPr>
        <w:pStyle w:val="PargrafodaLista"/>
        <w:numPr>
          <w:ilvl w:val="0"/>
          <w:numId w:val="44"/>
        </w:numPr>
        <w:ind w:left="567" w:firstLine="0"/>
        <w:rPr>
          <w:b/>
          <w:color w:val="4BACC6" w:themeColor="accent5"/>
        </w:rPr>
      </w:pPr>
      <w:bookmarkStart w:id="82" w:name="_Toc464481588"/>
      <w:bookmarkStart w:id="83" w:name="_Toc464485182"/>
      <w:r w:rsidRPr="009D51E4">
        <w:rPr>
          <w:b/>
          <w:color w:val="4BACC6" w:themeColor="accent5"/>
        </w:rPr>
        <w:lastRenderedPageBreak/>
        <w:t>Análise de Sustentabilidade Financeira</w:t>
      </w:r>
      <w:bookmarkEnd w:id="82"/>
      <w:bookmarkEnd w:id="83"/>
    </w:p>
    <w:p w14:paraId="2AB27CBF" w14:textId="77777777" w:rsidR="00483B31" w:rsidRDefault="00483B31" w:rsidP="00483B31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Considerando que incumbe à Aut</w:t>
      </w:r>
      <w:r w:rsidR="007203ED">
        <w:rPr>
          <w:rFonts w:asciiTheme="minorHAnsi" w:hAnsiTheme="minorHAnsi"/>
          <w:sz w:val="22"/>
          <w:szCs w:val="22"/>
        </w:rPr>
        <w:t>oridade de Gestão a verificação</w:t>
      </w:r>
      <w:r>
        <w:rPr>
          <w:rFonts w:asciiTheme="minorHAnsi" w:hAnsiTheme="minorHAnsi"/>
          <w:sz w:val="22"/>
          <w:szCs w:val="22"/>
        </w:rPr>
        <w:t xml:space="preserve"> da </w:t>
      </w:r>
      <w:r w:rsidRPr="00A651C2">
        <w:rPr>
          <w:rFonts w:asciiTheme="minorHAnsi" w:hAnsiTheme="minorHAnsi"/>
          <w:sz w:val="22"/>
          <w:szCs w:val="22"/>
        </w:rPr>
        <w:t>viabilidade e da sustentabilidade financeira das operações a financiar</w:t>
      </w:r>
      <w:r>
        <w:rPr>
          <w:rFonts w:asciiTheme="minorHAnsi" w:hAnsiTheme="minorHAnsi"/>
          <w:sz w:val="22"/>
          <w:szCs w:val="22"/>
        </w:rPr>
        <w:t>, expressa na</w:t>
      </w:r>
      <w:r w:rsidRPr="00A651C2">
        <w:rPr>
          <w:rFonts w:asciiTheme="minorHAnsi" w:hAnsiTheme="minorHAnsi"/>
          <w:sz w:val="22"/>
          <w:szCs w:val="22"/>
        </w:rPr>
        <w:t xml:space="preserve"> alínea f) do número 1 do artigo 26º do Decreto-Lei nº 137/2014, </w:t>
      </w:r>
      <w:r>
        <w:rPr>
          <w:rFonts w:asciiTheme="minorHAnsi" w:hAnsiTheme="minorHAnsi"/>
          <w:sz w:val="22"/>
          <w:szCs w:val="22"/>
        </w:rPr>
        <w:t>identificam-se neste ponto os requisitos necessários ao cumprimento da mesma.</w:t>
      </w:r>
    </w:p>
    <w:p w14:paraId="1C6866E2" w14:textId="77777777" w:rsidR="00EC3E8F" w:rsidRDefault="00483B31" w:rsidP="00483B31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Neste contexto, pretende-se obter garantias razoáveis</w:t>
      </w:r>
      <w:r w:rsidRPr="00A651C2">
        <w:rPr>
          <w:rFonts w:asciiTheme="minorHAnsi" w:hAnsiTheme="minorHAnsi"/>
          <w:sz w:val="22"/>
          <w:szCs w:val="22"/>
        </w:rPr>
        <w:t xml:space="preserve"> de que </w:t>
      </w:r>
      <w:r w:rsidR="00C76A56">
        <w:rPr>
          <w:rFonts w:asciiTheme="minorHAnsi" w:hAnsiTheme="minorHAnsi"/>
          <w:sz w:val="22"/>
          <w:szCs w:val="22"/>
        </w:rPr>
        <w:t>as operações</w:t>
      </w:r>
      <w:r w:rsidRPr="00A651C2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têm </w:t>
      </w:r>
      <w:r w:rsidRPr="00A651C2">
        <w:rPr>
          <w:rFonts w:asciiTheme="minorHAnsi" w:hAnsiTheme="minorHAnsi"/>
          <w:sz w:val="22"/>
          <w:szCs w:val="22"/>
        </w:rPr>
        <w:t>recursos financeiros suficientes e disponíveis para cobrir as despesas de investimento e de funcionamento ao longo do seu período de referência</w:t>
      </w:r>
      <w:r>
        <w:rPr>
          <w:rFonts w:asciiTheme="minorHAnsi" w:hAnsiTheme="minorHAnsi"/>
          <w:sz w:val="22"/>
          <w:szCs w:val="22"/>
        </w:rPr>
        <w:t>.</w:t>
      </w:r>
    </w:p>
    <w:p w14:paraId="1C6ED2C7" w14:textId="0E567327" w:rsidR="004E4505" w:rsidRPr="00F13BFB" w:rsidRDefault="00142268" w:rsidP="00F13BFB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 w:rsidRPr="00142268">
        <w:rPr>
          <w:rFonts w:asciiTheme="minorHAnsi" w:hAnsiTheme="minorHAnsi"/>
          <w:sz w:val="22"/>
          <w:szCs w:val="22"/>
        </w:rPr>
        <w:t xml:space="preserve">De referir que os requisitos expressos são aplicáveis a operações com um custo total elegível superior ou igual a um milhão de euros. </w:t>
      </w:r>
      <w:r>
        <w:rPr>
          <w:rFonts w:asciiTheme="minorHAnsi" w:hAnsiTheme="minorHAnsi"/>
          <w:sz w:val="22"/>
          <w:szCs w:val="22"/>
        </w:rPr>
        <w:t>Neste âmbito, os</w:t>
      </w:r>
      <w:r w:rsidR="00C76A56" w:rsidRPr="00C76A56">
        <w:rPr>
          <w:rFonts w:asciiTheme="minorHAnsi" w:hAnsiTheme="minorHAnsi"/>
          <w:sz w:val="22"/>
          <w:szCs w:val="22"/>
        </w:rPr>
        <w:t xml:space="preserve"> procedimentos em sede de análise da sustentabilidade das operações deverão </w:t>
      </w:r>
      <w:r w:rsidR="00CB56A9">
        <w:rPr>
          <w:rFonts w:asciiTheme="minorHAnsi" w:hAnsiTheme="minorHAnsi"/>
          <w:sz w:val="22"/>
          <w:szCs w:val="22"/>
        </w:rPr>
        <w:t xml:space="preserve">ter </w:t>
      </w:r>
      <w:r w:rsidR="00C76A56" w:rsidRPr="00C76A56">
        <w:rPr>
          <w:rFonts w:asciiTheme="minorHAnsi" w:hAnsiTheme="minorHAnsi"/>
          <w:sz w:val="22"/>
          <w:szCs w:val="22"/>
        </w:rPr>
        <w:t xml:space="preserve">em consideração a dimensão financeira e a tipologia de intervenção </w:t>
      </w:r>
      <w:r>
        <w:rPr>
          <w:rFonts w:asciiTheme="minorHAnsi" w:hAnsiTheme="minorHAnsi"/>
          <w:sz w:val="22"/>
          <w:szCs w:val="22"/>
        </w:rPr>
        <w:t>que lhe estão associadas.</w:t>
      </w:r>
    </w:p>
    <w:tbl>
      <w:tblPr>
        <w:tblStyle w:val="Tabelacomgrelha"/>
        <w:tblW w:w="9997" w:type="dxa"/>
        <w:tblInd w:w="34" w:type="dxa"/>
        <w:shd w:val="clear" w:color="auto" w:fill="F4E62C"/>
        <w:tblLook w:val="04A0" w:firstRow="1" w:lastRow="0" w:firstColumn="1" w:lastColumn="0" w:noHBand="0" w:noVBand="1"/>
      </w:tblPr>
      <w:tblGrid>
        <w:gridCol w:w="9997"/>
      </w:tblGrid>
      <w:tr w:rsidR="004A31B9" w:rsidRPr="00A651C2" w14:paraId="27F2DD3E" w14:textId="77777777" w:rsidTr="00EC3E8F">
        <w:tc>
          <w:tcPr>
            <w:tcW w:w="9997" w:type="dxa"/>
            <w:shd w:val="clear" w:color="auto" w:fill="F4E62C"/>
          </w:tcPr>
          <w:p w14:paraId="299A0A98" w14:textId="77777777" w:rsidR="004A31B9" w:rsidRPr="004A31B9" w:rsidRDefault="004A31B9" w:rsidP="004E4505">
            <w:pPr>
              <w:pStyle w:val="PargrafodaLista"/>
              <w:numPr>
                <w:ilvl w:val="0"/>
                <w:numId w:val="40"/>
              </w:numPr>
              <w:tabs>
                <w:tab w:val="left" w:pos="284"/>
              </w:tabs>
              <w:spacing w:before="120" w:after="120" w:line="240" w:lineRule="auto"/>
              <w:ind w:left="0" w:firstLine="0"/>
              <w:contextualSpacing w:val="0"/>
              <w:jc w:val="both"/>
              <w:rPr>
                <w:rFonts w:asciiTheme="minorHAnsi" w:hAnsiTheme="minorHAnsi"/>
                <w:b/>
              </w:rPr>
            </w:pPr>
            <w:r w:rsidRPr="004A31B9">
              <w:rPr>
                <w:rFonts w:asciiTheme="minorHAnsi" w:hAnsiTheme="minorHAnsi"/>
                <w:b/>
              </w:rPr>
              <w:t>Operações com custo total elegível ≥ 1.000.000 euros decorrentes de intervenções públicas não geradoras de receitas</w:t>
            </w:r>
          </w:p>
          <w:p w14:paraId="5CE83C94" w14:textId="2BC99D62" w:rsidR="00B85FB6" w:rsidRPr="004A31B9" w:rsidRDefault="004A31B9" w:rsidP="00B85FB6">
            <w:pPr>
              <w:tabs>
                <w:tab w:val="left" w:pos="284"/>
              </w:tabs>
              <w:spacing w:after="120" w:line="360" w:lineRule="auto"/>
              <w:ind w:left="28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A31B9">
              <w:rPr>
                <w:rFonts w:asciiTheme="minorHAnsi" w:hAnsiTheme="minorHAnsi"/>
                <w:sz w:val="22"/>
                <w:szCs w:val="22"/>
              </w:rPr>
              <w:t xml:space="preserve">Nos casos particulares de operações não geradoras de receitas respeitantes a </w:t>
            </w:r>
            <w:proofErr w:type="spellStart"/>
            <w:r w:rsidR="00F13BFB">
              <w:rPr>
                <w:rFonts w:asciiTheme="minorHAnsi" w:hAnsiTheme="minorHAnsi"/>
                <w:sz w:val="22"/>
                <w:szCs w:val="22"/>
              </w:rPr>
              <w:t>Proteção</w:t>
            </w:r>
            <w:r w:rsidRPr="004A31B9">
              <w:rPr>
                <w:rFonts w:asciiTheme="minorHAnsi" w:hAnsiTheme="minorHAnsi"/>
                <w:sz w:val="22"/>
                <w:szCs w:val="22"/>
              </w:rPr>
              <w:t>Costeira</w:t>
            </w:r>
            <w:proofErr w:type="spellEnd"/>
            <w:r w:rsidRPr="004A31B9">
              <w:rPr>
                <w:rFonts w:asciiTheme="minorHAnsi" w:hAnsiTheme="minorHAnsi"/>
                <w:sz w:val="22"/>
                <w:szCs w:val="22"/>
              </w:rPr>
              <w:t xml:space="preserve">, Passivos Ambientais, Proteção da Biodiversidade e dos Ecossistemas e estudos alterações climáticas/prevenção de riscos, </w:t>
            </w:r>
            <w:r>
              <w:rPr>
                <w:rFonts w:asciiTheme="minorHAnsi" w:hAnsiTheme="minorHAnsi"/>
                <w:sz w:val="22"/>
                <w:szCs w:val="22"/>
              </w:rPr>
              <w:t>cujo</w:t>
            </w:r>
            <w:r w:rsidRPr="004A31B9">
              <w:rPr>
                <w:rFonts w:asciiTheme="minorHAnsi" w:hAnsiTheme="minorHAnsi"/>
                <w:sz w:val="22"/>
                <w:szCs w:val="22"/>
              </w:rPr>
              <w:t xml:space="preserve"> investimento associado tem uma rentabilidade social e não financeira, não estando prevista a obtenção de receita bruta decorrente da sua execução, estas operações </w:t>
            </w:r>
            <w:r>
              <w:rPr>
                <w:rFonts w:asciiTheme="minorHAnsi" w:hAnsiTheme="minorHAnsi"/>
                <w:sz w:val="22"/>
                <w:szCs w:val="22"/>
              </w:rPr>
              <w:t>não estão obrigadas à</w:t>
            </w:r>
            <w:r w:rsidRPr="004A31B9">
              <w:rPr>
                <w:rFonts w:asciiTheme="minorHAnsi" w:hAnsiTheme="minorHAnsi"/>
                <w:sz w:val="22"/>
                <w:szCs w:val="22"/>
              </w:rPr>
              <w:t xml:space="preserve"> demonstração de sustentabilidade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nos moldes descritos</w:t>
            </w:r>
            <w:r w:rsidRPr="004A31B9">
              <w:rPr>
                <w:rFonts w:asciiTheme="minorHAnsi" w:hAnsiTheme="minorHAnsi"/>
                <w:sz w:val="22"/>
                <w:szCs w:val="22"/>
              </w:rPr>
              <w:t xml:space="preserve">. </w:t>
            </w:r>
            <w:r w:rsidR="009A3F12">
              <w:rPr>
                <w:rFonts w:asciiTheme="minorHAnsi" w:hAnsiTheme="minorHAnsi"/>
                <w:sz w:val="22"/>
                <w:szCs w:val="22"/>
              </w:rPr>
              <w:t>Contudo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9A3F12">
              <w:rPr>
                <w:rFonts w:asciiTheme="minorHAnsi" w:hAnsiTheme="minorHAnsi"/>
                <w:sz w:val="22"/>
                <w:szCs w:val="22"/>
              </w:rPr>
              <w:t>deverá ser apresentada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4A31B9">
              <w:rPr>
                <w:rFonts w:asciiTheme="minorHAnsi" w:hAnsiTheme="minorHAnsi"/>
                <w:sz w:val="22"/>
                <w:szCs w:val="22"/>
              </w:rPr>
              <w:t>declaração</w:t>
            </w:r>
            <w:r w:rsidR="006057DC">
              <w:rPr>
                <w:rFonts w:asciiTheme="minorHAnsi" w:hAnsiTheme="minorHAnsi"/>
                <w:sz w:val="22"/>
                <w:szCs w:val="22"/>
              </w:rPr>
              <w:t>,</w:t>
            </w:r>
            <w:r w:rsidRPr="004A31B9">
              <w:rPr>
                <w:rFonts w:asciiTheme="minorHAnsi" w:hAnsiTheme="minorHAnsi"/>
                <w:sz w:val="22"/>
                <w:szCs w:val="22"/>
              </w:rPr>
              <w:t xml:space="preserve"> assinada pelo responsável máximo</w:t>
            </w:r>
            <w:r w:rsidR="009A3F12">
              <w:rPr>
                <w:rFonts w:asciiTheme="minorHAnsi" w:hAnsiTheme="minorHAnsi"/>
                <w:sz w:val="22"/>
                <w:szCs w:val="22"/>
              </w:rPr>
              <w:t xml:space="preserve">, assumindo o compromisso de </w:t>
            </w:r>
            <w:r w:rsidRPr="004A31B9">
              <w:rPr>
                <w:rFonts w:asciiTheme="minorHAnsi" w:hAnsiTheme="minorHAnsi"/>
                <w:sz w:val="22"/>
                <w:szCs w:val="22"/>
              </w:rPr>
              <w:t xml:space="preserve">manutenção das </w:t>
            </w:r>
            <w:r w:rsidR="00B85FB6">
              <w:rPr>
                <w:rFonts w:asciiTheme="minorHAnsi" w:hAnsiTheme="minorHAnsi"/>
                <w:sz w:val="22"/>
                <w:szCs w:val="22"/>
              </w:rPr>
              <w:t xml:space="preserve">infraestruturas, </w:t>
            </w:r>
            <w:r w:rsidR="00B85FB6" w:rsidRPr="00B85FB6">
              <w:rPr>
                <w:rFonts w:asciiTheme="minorHAnsi" w:hAnsiTheme="minorHAnsi"/>
                <w:sz w:val="22"/>
                <w:szCs w:val="22"/>
              </w:rPr>
              <w:t>incluindo uma descrição quanto à forma como será assegurada a sustentabilidade do investimento no período definido</w:t>
            </w:r>
            <w:r w:rsidR="00B85FB6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16D36F4F" w14:textId="77777777" w:rsidR="004A31B9" w:rsidRPr="004A31B9" w:rsidRDefault="004A31B9" w:rsidP="004E4505">
            <w:pPr>
              <w:pStyle w:val="PargrafodaLista"/>
              <w:numPr>
                <w:ilvl w:val="0"/>
                <w:numId w:val="40"/>
              </w:numPr>
              <w:tabs>
                <w:tab w:val="left" w:pos="284"/>
              </w:tabs>
              <w:spacing w:before="120" w:after="120" w:line="240" w:lineRule="auto"/>
              <w:ind w:left="-5" w:firstLine="0"/>
              <w:contextualSpacing w:val="0"/>
              <w:jc w:val="both"/>
              <w:rPr>
                <w:rFonts w:asciiTheme="minorHAnsi" w:hAnsiTheme="minorHAnsi"/>
                <w:b/>
              </w:rPr>
            </w:pPr>
            <w:proofErr w:type="gramStart"/>
            <w:r w:rsidRPr="004A31B9">
              <w:rPr>
                <w:rFonts w:asciiTheme="minorHAnsi" w:hAnsiTheme="minorHAnsi"/>
                <w:b/>
              </w:rPr>
              <w:t xml:space="preserve">Operações com custo total elegível ≥ 1.000.000 euros com decisão de aplicação da Taxa </w:t>
            </w:r>
            <w:proofErr w:type="spellStart"/>
            <w:r w:rsidRPr="004A31B9">
              <w:rPr>
                <w:rFonts w:asciiTheme="minorHAnsi" w:hAnsiTheme="minorHAnsi"/>
                <w:b/>
              </w:rPr>
              <w:t>Forfetária</w:t>
            </w:r>
            <w:proofErr w:type="spellEnd"/>
            <w:r w:rsidRPr="004A31B9">
              <w:rPr>
                <w:rFonts w:asciiTheme="minorHAnsi" w:hAnsiTheme="minorHAnsi"/>
                <w:b/>
              </w:rPr>
              <w:t xml:space="preserve"> conforme</w:t>
            </w:r>
            <w:proofErr w:type="gramEnd"/>
            <w:r w:rsidRPr="004A31B9">
              <w:rPr>
                <w:rFonts w:asciiTheme="minorHAnsi" w:hAnsiTheme="minorHAnsi"/>
                <w:b/>
              </w:rPr>
              <w:t xml:space="preserve"> Anexo V do Regulamento nº1303/2013</w:t>
            </w:r>
          </w:p>
          <w:p w14:paraId="1B26A0AF" w14:textId="258C46A8" w:rsidR="00F13BFB" w:rsidRDefault="009A3F12" w:rsidP="00F13BFB">
            <w:pPr>
              <w:tabs>
                <w:tab w:val="left" w:pos="284"/>
              </w:tabs>
              <w:spacing w:line="360" w:lineRule="auto"/>
              <w:ind w:left="28"/>
              <w:contextualSpacing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As </w:t>
            </w:r>
            <w:r w:rsidR="004A31B9" w:rsidRPr="004A31B9">
              <w:rPr>
                <w:rFonts w:asciiTheme="minorHAnsi" w:hAnsiTheme="minorHAnsi"/>
                <w:sz w:val="22"/>
                <w:szCs w:val="22"/>
              </w:rPr>
              <w:t xml:space="preserve">operações com aplicação de taxa </w:t>
            </w:r>
            <w:proofErr w:type="spellStart"/>
            <w:r w:rsidR="004A31B9" w:rsidRPr="004A31B9">
              <w:rPr>
                <w:rFonts w:asciiTheme="minorHAnsi" w:hAnsiTheme="minorHAnsi"/>
                <w:sz w:val="22"/>
                <w:szCs w:val="22"/>
              </w:rPr>
              <w:t>forfetária</w:t>
            </w:r>
            <w:proofErr w:type="spellEnd"/>
            <w:r w:rsidR="004A31B9" w:rsidRPr="004A31B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excluem-se</w:t>
            </w:r>
            <w:r w:rsidR="004A31B9" w:rsidRPr="004A31B9">
              <w:rPr>
                <w:rFonts w:asciiTheme="minorHAnsi" w:hAnsiTheme="minorHAnsi"/>
                <w:sz w:val="22"/>
                <w:szCs w:val="22"/>
              </w:rPr>
              <w:t xml:space="preserve"> da obrigatoriedade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respeitante à demonstração da sustentabilidade</w:t>
            </w:r>
            <w:r w:rsidR="006057DC">
              <w:rPr>
                <w:rFonts w:asciiTheme="minorHAnsi" w:hAnsiTheme="minorHAnsi"/>
                <w:sz w:val="22"/>
                <w:szCs w:val="22"/>
              </w:rPr>
              <w:t xml:space="preserve">. No entanto deve ser atestada a sustentabilidade da operação através da apresentação declaração </w:t>
            </w:r>
            <w:r w:rsidR="006057DC" w:rsidRPr="004A31B9">
              <w:rPr>
                <w:rFonts w:asciiTheme="minorHAnsi" w:hAnsiTheme="minorHAnsi"/>
                <w:sz w:val="22"/>
                <w:szCs w:val="22"/>
              </w:rPr>
              <w:t>assinada pelo responsável máximo</w:t>
            </w:r>
            <w:r w:rsidR="00B85FB6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r w:rsidR="00B85FB6" w:rsidRPr="00B85FB6">
              <w:rPr>
                <w:rFonts w:asciiTheme="minorHAnsi" w:hAnsiTheme="minorHAnsi"/>
                <w:sz w:val="22"/>
                <w:szCs w:val="22"/>
              </w:rPr>
              <w:t>incluindo uma descrição quanto à forma como será assegurada a sustentabilidade do investimento no período definido</w:t>
            </w:r>
            <w:r w:rsidR="006057DC">
              <w:rPr>
                <w:rFonts w:asciiTheme="minorHAnsi" w:hAnsiTheme="minorHAnsi"/>
                <w:sz w:val="22"/>
                <w:szCs w:val="22"/>
              </w:rPr>
              <w:t>.</w:t>
            </w:r>
            <w:r w:rsidR="004A31B9" w:rsidRPr="004A31B9">
              <w:rPr>
                <w:rFonts w:asciiTheme="minorHAnsi" w:hAnsiTheme="minorHAnsi"/>
                <w:sz w:val="22"/>
                <w:szCs w:val="22"/>
              </w:rPr>
              <w:t xml:space="preserve"> Complementarmente, e para o caso específico de operações cuja tipologia de intervenção respeita a “Resíduos” e ao “Ciclo Urbano da </w:t>
            </w:r>
            <w:r w:rsidR="006057DC">
              <w:rPr>
                <w:rFonts w:asciiTheme="minorHAnsi" w:hAnsiTheme="minorHAnsi"/>
                <w:sz w:val="22"/>
                <w:szCs w:val="22"/>
              </w:rPr>
              <w:t xml:space="preserve">Água”, a sustentabilidade </w:t>
            </w:r>
            <w:proofErr w:type="gramStart"/>
            <w:r w:rsidR="006057DC">
              <w:rPr>
                <w:rFonts w:asciiTheme="minorHAnsi" w:hAnsiTheme="minorHAnsi"/>
                <w:sz w:val="22"/>
                <w:szCs w:val="22"/>
              </w:rPr>
              <w:t>será verificada</w:t>
            </w:r>
            <w:proofErr w:type="gramEnd"/>
            <w:r w:rsidR="006057DC">
              <w:rPr>
                <w:rFonts w:asciiTheme="minorHAnsi" w:hAnsiTheme="minorHAnsi"/>
                <w:sz w:val="22"/>
                <w:szCs w:val="22"/>
              </w:rPr>
              <w:t xml:space="preserve"> com recurso à informação disponível na</w:t>
            </w:r>
            <w:r w:rsidR="004A31B9" w:rsidRPr="004A31B9">
              <w:rPr>
                <w:rFonts w:asciiTheme="minorHAnsi" w:hAnsiTheme="minorHAnsi"/>
                <w:sz w:val="22"/>
                <w:szCs w:val="22"/>
              </w:rPr>
              <w:t xml:space="preserve"> Ficha de Avaliação da Qualidade do Serviço disponibil</w:t>
            </w:r>
            <w:r w:rsidR="00F13BFB">
              <w:rPr>
                <w:rFonts w:asciiTheme="minorHAnsi" w:hAnsiTheme="minorHAnsi"/>
                <w:sz w:val="22"/>
                <w:szCs w:val="22"/>
              </w:rPr>
              <w:t>izada pela ERSAR, no que respeita ao indicador “Grau de Recuperação de Custos”.</w:t>
            </w:r>
          </w:p>
          <w:p w14:paraId="117F6A4F" w14:textId="77777777" w:rsidR="00F13BFB" w:rsidRDefault="00F13BFB" w:rsidP="00F13BFB">
            <w:pPr>
              <w:tabs>
                <w:tab w:val="left" w:pos="284"/>
              </w:tabs>
              <w:spacing w:line="360" w:lineRule="auto"/>
              <w:ind w:left="28"/>
              <w:contextualSpacing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601E12EB" w14:textId="77777777" w:rsidR="00F13BFB" w:rsidRDefault="00F13BFB" w:rsidP="00F13BFB">
            <w:pPr>
              <w:tabs>
                <w:tab w:val="left" w:pos="284"/>
              </w:tabs>
              <w:spacing w:line="360" w:lineRule="auto"/>
              <w:ind w:left="28"/>
              <w:contextualSpacing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70855574" w14:textId="6B71501C" w:rsidR="00EC3E8F" w:rsidRPr="004E4505" w:rsidRDefault="006057DC" w:rsidP="004E4505">
            <w:pPr>
              <w:pStyle w:val="PargrafodaLista"/>
              <w:numPr>
                <w:ilvl w:val="0"/>
                <w:numId w:val="40"/>
              </w:numPr>
              <w:tabs>
                <w:tab w:val="left" w:pos="284"/>
              </w:tabs>
              <w:spacing w:before="120" w:after="120" w:line="240" w:lineRule="auto"/>
              <w:ind w:left="-5" w:firstLine="0"/>
              <w:contextualSpacing w:val="0"/>
              <w:jc w:val="both"/>
              <w:rPr>
                <w:rFonts w:asciiTheme="minorHAnsi" w:hAnsiTheme="minorHAnsi"/>
                <w:b/>
              </w:rPr>
            </w:pPr>
            <w:r w:rsidRPr="00EC3E8F">
              <w:rPr>
                <w:rFonts w:asciiTheme="minorHAnsi" w:hAnsiTheme="minorHAnsi"/>
                <w:b/>
              </w:rPr>
              <w:lastRenderedPageBreak/>
              <w:t>Nas restantes operações</w:t>
            </w:r>
            <w:r w:rsidR="00A152E2">
              <w:rPr>
                <w:rFonts w:asciiTheme="minorHAnsi" w:hAnsiTheme="minorHAnsi"/>
                <w:b/>
              </w:rPr>
              <w:t xml:space="preserve"> com custo total elegível </w:t>
            </w:r>
            <w:r w:rsidR="00A152E2" w:rsidRPr="004A31B9">
              <w:rPr>
                <w:rFonts w:asciiTheme="minorHAnsi" w:hAnsiTheme="minorHAnsi"/>
                <w:b/>
              </w:rPr>
              <w:t>≥ 1.000.000 euros</w:t>
            </w:r>
          </w:p>
          <w:p w14:paraId="3C5ED0B9" w14:textId="77777777" w:rsidR="006057DC" w:rsidRDefault="00EC3E8F" w:rsidP="00EC3E8F">
            <w:pPr>
              <w:pStyle w:val="PargrafodaLista"/>
              <w:tabs>
                <w:tab w:val="left" w:pos="284"/>
              </w:tabs>
              <w:spacing w:after="0" w:line="360" w:lineRule="auto"/>
              <w:ind w:left="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Os procedimentos a desenvolver em sede de análise de sustentabilidade decorrem da análise financeira realizada nos moldes anteriormente descritos, partindo da aferição dos </w:t>
            </w:r>
            <w:r w:rsidRPr="00EC3E8F">
              <w:rPr>
                <w:rFonts w:asciiTheme="minorHAnsi" w:hAnsiTheme="minorHAnsi"/>
                <w:i/>
              </w:rPr>
              <w:t>cash-flows</w:t>
            </w:r>
            <w:r>
              <w:rPr>
                <w:rFonts w:asciiTheme="minorHAnsi" w:hAnsiTheme="minorHAnsi"/>
              </w:rPr>
              <w:t xml:space="preserve"> líquidos de exploração (capacidade das receitas líquidas de exploração para cobrir os custos de investimento, independentemente da forma como estes são financiados) e considerando agora as fontes de financiamento previstas</w:t>
            </w:r>
            <w:r>
              <w:rPr>
                <w:rStyle w:val="Refdenotaderodap"/>
                <w:rFonts w:asciiTheme="minorHAnsi" w:hAnsiTheme="minorHAnsi"/>
              </w:rPr>
              <w:footnoteReference w:id="9"/>
            </w:r>
            <w:r>
              <w:rPr>
                <w:rFonts w:asciiTheme="minorHAnsi" w:hAnsiTheme="minorHAnsi"/>
              </w:rPr>
              <w:t>.</w:t>
            </w:r>
          </w:p>
          <w:p w14:paraId="1C7A2AC4" w14:textId="77777777" w:rsidR="00114DD1" w:rsidRDefault="00114DD1" w:rsidP="00EC3E8F">
            <w:pPr>
              <w:pStyle w:val="PargrafodaLista"/>
              <w:tabs>
                <w:tab w:val="left" w:pos="284"/>
              </w:tabs>
              <w:spacing w:after="0" w:line="360" w:lineRule="auto"/>
              <w:ind w:left="0"/>
              <w:jc w:val="both"/>
              <w:rPr>
                <w:rFonts w:asciiTheme="minorHAnsi" w:hAnsiTheme="minorHAnsi"/>
              </w:rPr>
            </w:pPr>
          </w:p>
          <w:p w14:paraId="462C2E23" w14:textId="04417075" w:rsidR="00114DD1" w:rsidRPr="00EC3E8F" w:rsidRDefault="00114DD1" w:rsidP="00114DD1">
            <w:pPr>
              <w:pStyle w:val="PargrafodaLista"/>
              <w:tabs>
                <w:tab w:val="left" w:pos="284"/>
              </w:tabs>
              <w:spacing w:after="0" w:line="360" w:lineRule="auto"/>
              <w:ind w:left="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Nestes casos, para declaração e descrição dos procedimentos atinentes à garantia da sustentabilidade das operações foi definido o modelo a utilizar pelos beneficiários de operações cofinanciadas pelo POSEUR (</w:t>
            </w:r>
            <w:r w:rsidRPr="00114DD1">
              <w:rPr>
                <w:rFonts w:asciiTheme="minorHAnsi" w:hAnsiTheme="minorHAnsi"/>
                <w:b/>
              </w:rPr>
              <w:t>Anexo 5</w:t>
            </w:r>
            <w:r>
              <w:rPr>
                <w:rFonts w:asciiTheme="minorHAnsi" w:hAnsiTheme="minorHAnsi"/>
              </w:rPr>
              <w:t>)</w:t>
            </w:r>
          </w:p>
        </w:tc>
      </w:tr>
    </w:tbl>
    <w:p w14:paraId="2B1E55E9" w14:textId="77777777" w:rsidR="004E4505" w:rsidRDefault="004E4505" w:rsidP="004E4505">
      <w:pPr>
        <w:spacing w:line="360" w:lineRule="auto"/>
        <w:ind w:left="0"/>
        <w:jc w:val="both"/>
        <w:rPr>
          <w:rFonts w:asciiTheme="minorHAnsi" w:hAnsiTheme="minorHAnsi"/>
          <w:sz w:val="22"/>
          <w:szCs w:val="22"/>
        </w:rPr>
      </w:pPr>
    </w:p>
    <w:p w14:paraId="45D2A2F0" w14:textId="7CC8A060" w:rsidR="00483B31" w:rsidRPr="00D31E9F" w:rsidRDefault="00483B31" w:rsidP="00483B31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sz w:val="22"/>
          <w:szCs w:val="22"/>
        </w:rPr>
        <w:t>A análise de sustentabilidade</w:t>
      </w:r>
      <w:r w:rsidR="00142268">
        <w:rPr>
          <w:rFonts w:asciiTheme="minorHAnsi" w:hAnsiTheme="minorHAnsi"/>
          <w:sz w:val="22"/>
          <w:szCs w:val="22"/>
        </w:rPr>
        <w:t>, sempre que aplicável,</w:t>
      </w:r>
      <w:r>
        <w:rPr>
          <w:rFonts w:asciiTheme="minorHAnsi" w:hAnsiTheme="minorHAnsi"/>
          <w:sz w:val="22"/>
          <w:szCs w:val="22"/>
        </w:rPr>
        <w:t xml:space="preserve"> deverá ser realizada </w:t>
      </w:r>
      <w:r w:rsidR="004A1332">
        <w:rPr>
          <w:rFonts w:asciiTheme="minorHAnsi" w:hAnsiTheme="minorHAnsi"/>
          <w:sz w:val="22"/>
          <w:szCs w:val="22"/>
        </w:rPr>
        <w:t>a preços constantes</w:t>
      </w:r>
      <w:r w:rsidR="00F13BFB">
        <w:rPr>
          <w:rFonts w:asciiTheme="minorHAnsi" w:hAnsiTheme="minorHAnsi"/>
          <w:sz w:val="22"/>
          <w:szCs w:val="22"/>
        </w:rPr>
        <w:t xml:space="preserve"> do ano base do investimento</w:t>
      </w:r>
      <w:r w:rsidR="004A1332">
        <w:rPr>
          <w:rFonts w:asciiTheme="minorHAnsi" w:hAnsiTheme="minorHAnsi"/>
          <w:sz w:val="22"/>
          <w:szCs w:val="22"/>
        </w:rPr>
        <w:t xml:space="preserve">, </w:t>
      </w:r>
      <w:r>
        <w:rPr>
          <w:rFonts w:asciiTheme="minorHAnsi" w:hAnsiTheme="minorHAnsi"/>
          <w:sz w:val="22"/>
          <w:szCs w:val="22"/>
        </w:rPr>
        <w:t xml:space="preserve">tendo por base o modelo </w:t>
      </w:r>
      <w:r w:rsidR="004A1332">
        <w:rPr>
          <w:rFonts w:asciiTheme="minorHAnsi" w:hAnsiTheme="minorHAnsi"/>
          <w:sz w:val="22"/>
          <w:szCs w:val="22"/>
        </w:rPr>
        <w:t xml:space="preserve">próprio </w:t>
      </w:r>
      <w:r w:rsidR="00142268">
        <w:rPr>
          <w:rFonts w:asciiTheme="minorHAnsi" w:hAnsiTheme="minorHAnsi"/>
          <w:sz w:val="22"/>
          <w:szCs w:val="22"/>
        </w:rPr>
        <w:t>identificado</w:t>
      </w:r>
      <w:r>
        <w:rPr>
          <w:rFonts w:asciiTheme="minorHAnsi" w:hAnsiTheme="minorHAnsi"/>
          <w:sz w:val="22"/>
          <w:szCs w:val="22"/>
        </w:rPr>
        <w:t xml:space="preserve"> no Anexo I</w:t>
      </w:r>
      <w:r w:rsidR="00EC3E8F">
        <w:rPr>
          <w:rFonts w:asciiTheme="minorHAnsi" w:hAnsiTheme="minorHAnsi"/>
          <w:sz w:val="22"/>
          <w:szCs w:val="22"/>
        </w:rPr>
        <w:t xml:space="preserve"> – mapa IV</w:t>
      </w:r>
      <w:r>
        <w:rPr>
          <w:rFonts w:asciiTheme="minorHAnsi" w:hAnsiTheme="minorHAnsi"/>
          <w:sz w:val="22"/>
          <w:szCs w:val="22"/>
        </w:rPr>
        <w:t xml:space="preserve"> a este documento e levará em conta as</w:t>
      </w:r>
      <w:r w:rsidRPr="00D31E9F">
        <w:rPr>
          <w:rFonts w:asciiTheme="minorHAnsi" w:hAnsiTheme="minorHAnsi"/>
          <w:sz w:val="22"/>
          <w:szCs w:val="22"/>
          <w:u w:val="single"/>
        </w:rPr>
        <w:t xml:space="preserve"> projeções de fluxos de caixa não atualizados</w:t>
      </w:r>
      <w:r>
        <w:rPr>
          <w:rFonts w:asciiTheme="minorHAnsi" w:hAnsiTheme="minorHAnsi"/>
          <w:sz w:val="22"/>
          <w:szCs w:val="22"/>
        </w:rPr>
        <w:t>, sendo agora considerados (para além do investimento, dos custos e das receitas de exploração)</w:t>
      </w:r>
      <w:r w:rsidR="00EC3E8F">
        <w:rPr>
          <w:rFonts w:asciiTheme="minorHAnsi" w:hAnsiTheme="minorHAnsi"/>
          <w:sz w:val="22"/>
          <w:szCs w:val="22"/>
        </w:rPr>
        <w:t xml:space="preserve"> as diferentes fontes de financiamento previstas</w:t>
      </w:r>
      <w:r>
        <w:rPr>
          <w:rFonts w:asciiTheme="minorHAnsi" w:hAnsiTheme="minorHAnsi"/>
          <w:sz w:val="22"/>
          <w:szCs w:val="22"/>
        </w:rPr>
        <w:t>:</w:t>
      </w:r>
    </w:p>
    <w:p w14:paraId="3CC19C1E" w14:textId="77777777" w:rsidR="00483B31" w:rsidRDefault="00483B31" w:rsidP="00305028">
      <w:pPr>
        <w:numPr>
          <w:ilvl w:val="0"/>
          <w:numId w:val="21"/>
        </w:numPr>
        <w:spacing w:before="120" w:after="120" w:line="360" w:lineRule="auto"/>
        <w:ind w:left="709" w:hanging="283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Financiamento do capital social (incluindo fundos próprios e eventuais créditos financeiros, no momento em que são reembolsados);</w:t>
      </w:r>
    </w:p>
    <w:p w14:paraId="6A8EF6F3" w14:textId="77777777" w:rsidR="00483B31" w:rsidRPr="00A651C2" w:rsidRDefault="00483B31" w:rsidP="00305028">
      <w:pPr>
        <w:numPr>
          <w:ilvl w:val="0"/>
          <w:numId w:val="21"/>
        </w:numPr>
        <w:spacing w:before="120" w:after="120" w:line="360" w:lineRule="auto"/>
        <w:ind w:left="709" w:hanging="283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Contribuição pública nacional (ao nível local, regional e central);</w:t>
      </w:r>
    </w:p>
    <w:p w14:paraId="09A4B022" w14:textId="77777777" w:rsidR="00483B31" w:rsidRPr="00A651C2" w:rsidRDefault="00483B31" w:rsidP="00305028">
      <w:pPr>
        <w:numPr>
          <w:ilvl w:val="0"/>
          <w:numId w:val="21"/>
        </w:numPr>
        <w:spacing w:before="120" w:after="120" w:line="360" w:lineRule="auto"/>
        <w:ind w:left="709" w:hanging="283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Financiamento Comunitário;</w:t>
      </w:r>
    </w:p>
    <w:p w14:paraId="0E05B264" w14:textId="77777777" w:rsidR="00483B31" w:rsidRDefault="00483B31" w:rsidP="00305028">
      <w:pPr>
        <w:numPr>
          <w:ilvl w:val="0"/>
          <w:numId w:val="21"/>
        </w:numPr>
        <w:spacing w:before="120" w:after="120" w:line="360" w:lineRule="auto"/>
        <w:ind w:left="709" w:hanging="283"/>
        <w:contextualSpacing/>
        <w:jc w:val="both"/>
        <w:rPr>
          <w:rFonts w:asciiTheme="minorHAnsi" w:hAnsiTheme="minorHAnsi"/>
          <w:sz w:val="22"/>
          <w:szCs w:val="22"/>
        </w:rPr>
      </w:pPr>
      <w:r w:rsidRPr="00A651C2">
        <w:rPr>
          <w:rFonts w:asciiTheme="minorHAnsi" w:hAnsiTheme="minorHAnsi"/>
          <w:sz w:val="22"/>
          <w:szCs w:val="22"/>
        </w:rPr>
        <w:t>As restituições das obrigações financeiras da entidade, bem como as contribuições em capital, os juros e os impostos diretos;</w:t>
      </w:r>
    </w:p>
    <w:p w14:paraId="0B9955FC" w14:textId="77777777" w:rsidR="00483B31" w:rsidRDefault="00483B31" w:rsidP="00305028">
      <w:pPr>
        <w:numPr>
          <w:ilvl w:val="0"/>
          <w:numId w:val="21"/>
        </w:numPr>
        <w:spacing w:before="120" w:after="120" w:line="360" w:lineRule="auto"/>
        <w:ind w:left="709" w:hanging="283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Contribuição privada no caso de Parcerias Público-Privadas.</w:t>
      </w:r>
    </w:p>
    <w:p w14:paraId="14846C1B" w14:textId="77777777" w:rsidR="00483B31" w:rsidRDefault="00483B31" w:rsidP="00483B31">
      <w:pPr>
        <w:spacing w:before="120" w:after="120" w:line="360" w:lineRule="auto"/>
        <w:ind w:left="0"/>
        <w:contextualSpacing/>
        <w:jc w:val="both"/>
        <w:rPr>
          <w:rFonts w:asciiTheme="minorHAnsi" w:hAnsiTheme="minorHAnsi"/>
          <w:sz w:val="22"/>
          <w:szCs w:val="22"/>
        </w:rPr>
      </w:pPr>
    </w:p>
    <w:p w14:paraId="37340D31" w14:textId="77777777" w:rsidR="00483B31" w:rsidRPr="00A651C2" w:rsidRDefault="00483B31" w:rsidP="00483B31">
      <w:pPr>
        <w:spacing w:before="120" w:after="120" w:line="360" w:lineRule="auto"/>
        <w:ind w:left="0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 análise a realizar deve ainda:</w:t>
      </w:r>
    </w:p>
    <w:p w14:paraId="62EAF248" w14:textId="77777777" w:rsidR="00483B31" w:rsidRPr="00A651C2" w:rsidRDefault="00483B31" w:rsidP="00305028">
      <w:pPr>
        <w:numPr>
          <w:ilvl w:val="0"/>
          <w:numId w:val="21"/>
        </w:numPr>
        <w:spacing w:before="120" w:after="120" w:line="360" w:lineRule="auto"/>
        <w:ind w:left="709" w:hanging="283"/>
        <w:contextualSpacing/>
        <w:jc w:val="both"/>
        <w:rPr>
          <w:rFonts w:asciiTheme="minorHAnsi" w:hAnsiTheme="minorHAnsi"/>
          <w:sz w:val="22"/>
          <w:szCs w:val="22"/>
        </w:rPr>
      </w:pPr>
      <w:r w:rsidRPr="00A651C2">
        <w:rPr>
          <w:rFonts w:asciiTheme="minorHAnsi" w:hAnsiTheme="minorHAnsi"/>
          <w:sz w:val="22"/>
          <w:szCs w:val="22"/>
        </w:rPr>
        <w:t>Excluir o IVA, exceto nos casos em que não seja dedutível;</w:t>
      </w:r>
    </w:p>
    <w:p w14:paraId="6A5D9A0E" w14:textId="77777777" w:rsidR="00483B31" w:rsidRPr="00A651C2" w:rsidRDefault="00483B31" w:rsidP="00305028">
      <w:pPr>
        <w:numPr>
          <w:ilvl w:val="0"/>
          <w:numId w:val="21"/>
        </w:numPr>
        <w:spacing w:before="120" w:after="120" w:line="360" w:lineRule="auto"/>
        <w:ind w:left="709" w:hanging="283"/>
        <w:contextualSpacing/>
        <w:jc w:val="both"/>
        <w:rPr>
          <w:rFonts w:asciiTheme="minorHAnsi" w:hAnsiTheme="minorHAnsi"/>
          <w:sz w:val="22"/>
          <w:szCs w:val="22"/>
        </w:rPr>
      </w:pPr>
      <w:r w:rsidRPr="00A651C2">
        <w:rPr>
          <w:rFonts w:asciiTheme="minorHAnsi" w:hAnsiTheme="minorHAnsi"/>
          <w:sz w:val="22"/>
          <w:szCs w:val="22"/>
        </w:rPr>
        <w:t xml:space="preserve">Excluir o valor residual, a menos que o ativo seja efetivamente liquidado no último ano considerado na análise; </w:t>
      </w:r>
    </w:p>
    <w:p w14:paraId="23EC0C7D" w14:textId="77777777" w:rsidR="00483B31" w:rsidRPr="00E07D1A" w:rsidRDefault="00483B31" w:rsidP="00305028">
      <w:pPr>
        <w:numPr>
          <w:ilvl w:val="0"/>
          <w:numId w:val="21"/>
        </w:numPr>
        <w:spacing w:before="120" w:after="120" w:line="360" w:lineRule="auto"/>
        <w:ind w:left="709" w:hanging="283"/>
        <w:contextualSpacing/>
        <w:jc w:val="both"/>
        <w:rPr>
          <w:rFonts w:asciiTheme="minorHAnsi" w:hAnsiTheme="minorHAnsi"/>
          <w:sz w:val="22"/>
          <w:szCs w:val="22"/>
        </w:rPr>
      </w:pPr>
      <w:r w:rsidRPr="00A651C2">
        <w:rPr>
          <w:rFonts w:asciiTheme="minorHAnsi" w:hAnsiTheme="minorHAnsi"/>
          <w:sz w:val="22"/>
          <w:szCs w:val="22"/>
        </w:rPr>
        <w:t>Excluir valores de revisões de preço, uma vez que a análise é a preços constantes</w:t>
      </w:r>
    </w:p>
    <w:p w14:paraId="31A7E57D" w14:textId="77777777" w:rsidR="00483B31" w:rsidRPr="00A651C2" w:rsidRDefault="00483B31" w:rsidP="00483B31">
      <w:pPr>
        <w:spacing w:before="120" w:after="120" w:line="360" w:lineRule="auto"/>
        <w:jc w:val="both"/>
        <w:rPr>
          <w:rFonts w:asciiTheme="minorHAnsi" w:hAnsiTheme="minorHAnsi"/>
          <w:sz w:val="22"/>
          <w:szCs w:val="22"/>
        </w:rPr>
      </w:pPr>
    </w:p>
    <w:tbl>
      <w:tblPr>
        <w:tblStyle w:val="Tabelacomgrelha"/>
        <w:tblW w:w="9997" w:type="dxa"/>
        <w:tblInd w:w="34" w:type="dxa"/>
        <w:shd w:val="clear" w:color="auto" w:fill="F4E62C"/>
        <w:tblLook w:val="04A0" w:firstRow="1" w:lastRow="0" w:firstColumn="1" w:lastColumn="0" w:noHBand="0" w:noVBand="1"/>
      </w:tblPr>
      <w:tblGrid>
        <w:gridCol w:w="9997"/>
      </w:tblGrid>
      <w:tr w:rsidR="00483B31" w:rsidRPr="00A651C2" w14:paraId="73DCEF16" w14:textId="77777777" w:rsidTr="000C1C90">
        <w:tc>
          <w:tcPr>
            <w:tcW w:w="9997" w:type="dxa"/>
            <w:shd w:val="clear" w:color="auto" w:fill="F4E62C"/>
          </w:tcPr>
          <w:p w14:paraId="111BAA3B" w14:textId="77777777" w:rsidR="00483B31" w:rsidRDefault="00C76A56" w:rsidP="000C1C90">
            <w:pPr>
              <w:tabs>
                <w:tab w:val="left" w:pos="284"/>
              </w:tabs>
              <w:spacing w:before="120" w:after="120" w:line="360" w:lineRule="auto"/>
              <w:ind w:left="28"/>
              <w:contextualSpacing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A operação</w:t>
            </w:r>
            <w:r w:rsidR="00483B31" w:rsidRPr="00A651C2">
              <w:rPr>
                <w:rFonts w:asciiTheme="minorHAnsi" w:hAnsiTheme="minorHAnsi"/>
                <w:sz w:val="22"/>
                <w:szCs w:val="22"/>
              </w:rPr>
              <w:t xml:space="preserve"> é sustentável se os fluxos de caixa líquidos acumulados (não atualizados) forem positivos (ou zero), </w:t>
            </w:r>
            <w:r w:rsidR="00483B31">
              <w:rPr>
                <w:rFonts w:asciiTheme="minorHAnsi" w:hAnsiTheme="minorHAnsi"/>
                <w:sz w:val="22"/>
                <w:szCs w:val="22"/>
              </w:rPr>
              <w:t>em todos os anos</w:t>
            </w:r>
            <w:r w:rsidR="00483B31" w:rsidRPr="00A651C2">
              <w:rPr>
                <w:rFonts w:asciiTheme="minorHAnsi" w:hAnsiTheme="minorHAnsi"/>
                <w:sz w:val="22"/>
                <w:szCs w:val="22"/>
              </w:rPr>
              <w:t xml:space="preserve"> durante todo o pe</w:t>
            </w:r>
            <w:r w:rsidR="00483B31">
              <w:rPr>
                <w:rFonts w:asciiTheme="minorHAnsi" w:hAnsiTheme="minorHAnsi"/>
                <w:sz w:val="22"/>
                <w:szCs w:val="22"/>
              </w:rPr>
              <w:t>ríodo de referência considerado, estando assim demonstrado que não existe risco de insuficiência de fundos ao longo da sua exploração.</w:t>
            </w:r>
          </w:p>
          <w:p w14:paraId="54E1C204" w14:textId="443E16FF" w:rsidR="00483B31" w:rsidRPr="00A651C2" w:rsidRDefault="00C32678" w:rsidP="00C76A56">
            <w:pPr>
              <w:spacing w:before="120" w:after="120" w:line="360" w:lineRule="auto"/>
              <w:ind w:left="0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</w:t>
            </w:r>
            <w:r w:rsidR="00483B31" w:rsidRPr="000120EA">
              <w:rPr>
                <w:rFonts w:asciiTheme="minorHAnsi" w:hAnsiTheme="minorHAnsi"/>
                <w:sz w:val="22"/>
                <w:szCs w:val="22"/>
              </w:rPr>
              <w:t xml:space="preserve">ratando-se </w:t>
            </w:r>
            <w:r w:rsidR="00C76A56">
              <w:rPr>
                <w:rFonts w:asciiTheme="minorHAnsi" w:hAnsiTheme="minorHAnsi"/>
                <w:sz w:val="22"/>
                <w:szCs w:val="22"/>
              </w:rPr>
              <w:t xml:space="preserve">de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um </w:t>
            </w:r>
            <w:r w:rsidR="00C76A56">
              <w:rPr>
                <w:rFonts w:asciiTheme="minorHAnsi" w:hAnsiTheme="minorHAnsi"/>
                <w:sz w:val="22"/>
                <w:szCs w:val="22"/>
              </w:rPr>
              <w:t>investimento</w:t>
            </w:r>
            <w:r w:rsidR="00483B31" w:rsidRPr="000120EA">
              <w:rPr>
                <w:rFonts w:asciiTheme="minorHAnsi" w:hAnsiTheme="minorHAnsi"/>
                <w:sz w:val="22"/>
                <w:szCs w:val="22"/>
              </w:rPr>
              <w:t xml:space="preserve"> que </w:t>
            </w:r>
            <w:r>
              <w:rPr>
                <w:rFonts w:asciiTheme="minorHAnsi" w:hAnsiTheme="minorHAnsi"/>
                <w:sz w:val="22"/>
                <w:szCs w:val="22"/>
              </w:rPr>
              <w:t>contemple</w:t>
            </w:r>
            <w:r w:rsidR="00483B31" w:rsidRPr="000120EA">
              <w:rPr>
                <w:rFonts w:asciiTheme="minorHAnsi" w:hAnsiTheme="minorHAnsi"/>
                <w:sz w:val="22"/>
                <w:szCs w:val="22"/>
              </w:rPr>
              <w:t xml:space="preserve"> uma infraestrutura já existente (por exemplo, nos projetos de expansão) terá que ser verificada a sustentabilidade financeira global do operador do sistema num «cenário com o projeto» (envolvendo mais do que a capacidade unicamente do segmento ampliado).</w:t>
            </w:r>
          </w:p>
        </w:tc>
      </w:tr>
    </w:tbl>
    <w:p w14:paraId="7DCD24D0" w14:textId="77777777" w:rsidR="000120EA" w:rsidRDefault="000120EA" w:rsidP="004A1332">
      <w:pPr>
        <w:spacing w:before="120" w:after="120" w:line="360" w:lineRule="auto"/>
        <w:ind w:left="0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</w:p>
    <w:p w14:paraId="3BBB7184" w14:textId="7D5DF016" w:rsidR="00142268" w:rsidRPr="00142268" w:rsidRDefault="00142268" w:rsidP="00142268">
      <w:pPr>
        <w:spacing w:before="120" w:after="120" w:line="360" w:lineRule="auto"/>
        <w:ind w:left="0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142268">
        <w:rPr>
          <w:rFonts w:asciiTheme="minorHAnsi" w:eastAsia="Calibri" w:hAnsiTheme="minorHAnsi"/>
          <w:spacing w:val="0"/>
          <w:sz w:val="22"/>
          <w:szCs w:val="22"/>
        </w:rPr>
        <w:t>No caso de operações com custo total elegível inferior a 1 milhão de euros, deverá ser apresentada e demonstrada a sustentabilidade da operação por um período de referência de 6 anos, através da apresentação de uma declaração de carácter qualitativo que descreva a forma como será assegurada a sustentabilidade do investimento no pe</w:t>
      </w:r>
      <w:r w:rsidR="00C8694A">
        <w:rPr>
          <w:rFonts w:asciiTheme="minorHAnsi" w:eastAsia="Calibri" w:hAnsiTheme="minorHAnsi"/>
          <w:spacing w:val="0"/>
          <w:sz w:val="22"/>
          <w:szCs w:val="22"/>
        </w:rPr>
        <w:t>ríodo definido, mediante modelo constante no</w:t>
      </w:r>
      <w:r w:rsidR="00C8694A" w:rsidRPr="00F55BB0">
        <w:rPr>
          <w:rFonts w:asciiTheme="minorHAnsi" w:eastAsia="Calibri" w:hAnsiTheme="minorHAnsi"/>
          <w:b/>
          <w:spacing w:val="0"/>
          <w:sz w:val="22"/>
          <w:szCs w:val="22"/>
        </w:rPr>
        <w:t xml:space="preserve"> Anexo 5</w:t>
      </w:r>
      <w:r w:rsidR="00C8694A">
        <w:rPr>
          <w:rFonts w:asciiTheme="minorHAnsi" w:eastAsia="Calibri" w:hAnsiTheme="minorHAnsi"/>
          <w:spacing w:val="0"/>
          <w:sz w:val="22"/>
          <w:szCs w:val="22"/>
        </w:rPr>
        <w:t xml:space="preserve"> ao presente documento.</w:t>
      </w:r>
    </w:p>
    <w:p w14:paraId="09DEBC78" w14:textId="20FEA44E" w:rsidR="00142268" w:rsidRDefault="00142268" w:rsidP="00142268">
      <w:pPr>
        <w:spacing w:before="120" w:after="120" w:line="360" w:lineRule="auto"/>
        <w:ind w:left="0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142268">
        <w:rPr>
          <w:rFonts w:asciiTheme="minorHAnsi" w:eastAsia="Calibri" w:hAnsiTheme="minorHAnsi"/>
          <w:spacing w:val="0"/>
          <w:sz w:val="22"/>
          <w:szCs w:val="22"/>
        </w:rPr>
        <w:t>Nos casos de operações não sujeitas ao disposto no artigo 61º do Regulamento (UE) nº 1303/2013, ou sempre que fluxos de caixa negativos tenham projeção futura, tem de ser indicado de que forma os custos serão suportados e mantidos em operação os investimentos da operação (por um compromisso claro, a longo prazo, do beneficiário/operador) no sentido de disponibilizar meios financeiros adequados a partir de outras fontes para assegurar a sustentabilidade da operação.</w:t>
      </w:r>
    </w:p>
    <w:p w14:paraId="40F109FB" w14:textId="77777777" w:rsidR="00142268" w:rsidRDefault="00142268" w:rsidP="004A1332">
      <w:pPr>
        <w:spacing w:before="120" w:after="120" w:line="360" w:lineRule="auto"/>
        <w:ind w:left="0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</w:p>
    <w:p w14:paraId="1ADEBAC0" w14:textId="77777777" w:rsidR="00731584" w:rsidRDefault="000120EA" w:rsidP="00731584">
      <w:pPr>
        <w:numPr>
          <w:ilvl w:val="0"/>
          <w:numId w:val="13"/>
        </w:numPr>
        <w:spacing w:before="120" w:after="120" w:line="360" w:lineRule="auto"/>
        <w:ind w:left="426" w:hanging="426"/>
        <w:contextualSpacing/>
        <w:outlineLvl w:val="0"/>
        <w:rPr>
          <w:rFonts w:asciiTheme="minorHAnsi" w:eastAsia="Calibri" w:hAnsiTheme="minorHAnsi"/>
          <w:b/>
          <w:color w:val="4BACC6" w:themeColor="accent5"/>
          <w:spacing w:val="0"/>
          <w:sz w:val="22"/>
          <w:szCs w:val="22"/>
        </w:rPr>
      </w:pPr>
      <w:bookmarkStart w:id="84" w:name="_Toc472438901"/>
      <w:r w:rsidRPr="007F2404">
        <w:rPr>
          <w:rFonts w:asciiTheme="minorHAnsi" w:eastAsia="Calibri" w:hAnsiTheme="minorHAnsi"/>
          <w:b/>
          <w:color w:val="4BACC6" w:themeColor="accent5"/>
          <w:spacing w:val="0"/>
          <w:sz w:val="22"/>
          <w:szCs w:val="22"/>
        </w:rPr>
        <w:t>Operações geradoras de receitas não enquadráveis no artigo 61º e operações não geradoras de receitas</w:t>
      </w:r>
      <w:bookmarkStart w:id="85" w:name="_Toc430334695"/>
      <w:bookmarkStart w:id="86" w:name="_Toc430341689"/>
      <w:bookmarkStart w:id="87" w:name="_Toc464481592"/>
      <w:bookmarkEnd w:id="84"/>
      <w:bookmarkEnd w:id="85"/>
      <w:bookmarkEnd w:id="86"/>
    </w:p>
    <w:p w14:paraId="6DAF1A6F" w14:textId="77777777" w:rsidR="00483B31" w:rsidRPr="009D51E4" w:rsidRDefault="000120EA" w:rsidP="004E4505">
      <w:pPr>
        <w:pStyle w:val="PargrafodaLista"/>
        <w:numPr>
          <w:ilvl w:val="1"/>
          <w:numId w:val="45"/>
        </w:numPr>
        <w:ind w:left="1134" w:hanging="708"/>
        <w:rPr>
          <w:b/>
          <w:color w:val="4BACC6" w:themeColor="accent5"/>
        </w:rPr>
      </w:pPr>
      <w:bookmarkStart w:id="88" w:name="_Toc464485184"/>
      <w:r w:rsidRPr="009D51E4">
        <w:rPr>
          <w:b/>
          <w:color w:val="4BACC6" w:themeColor="accent5"/>
        </w:rPr>
        <w:t>Operações geradoras de receitas não enquadráveis no artigo 6</w:t>
      </w:r>
      <w:r w:rsidR="007F2404" w:rsidRPr="009D51E4">
        <w:rPr>
          <w:b/>
          <w:color w:val="4BACC6" w:themeColor="accent5"/>
        </w:rPr>
        <w:t>1º</w:t>
      </w:r>
      <w:bookmarkEnd w:id="87"/>
      <w:bookmarkEnd w:id="88"/>
    </w:p>
    <w:p w14:paraId="7196077C" w14:textId="77777777" w:rsidR="00483B31" w:rsidRPr="000120EA" w:rsidRDefault="00483B31" w:rsidP="009D51E4">
      <w:pPr>
        <w:spacing w:before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 w:rsidRPr="000120EA">
        <w:rPr>
          <w:rFonts w:asciiTheme="minorHAnsi" w:hAnsiTheme="minorHAnsi"/>
          <w:sz w:val="22"/>
          <w:szCs w:val="22"/>
        </w:rPr>
        <w:t xml:space="preserve">O nº. 8 </w:t>
      </w:r>
      <w:proofErr w:type="gramStart"/>
      <w:r w:rsidRPr="000120EA">
        <w:rPr>
          <w:rFonts w:asciiTheme="minorHAnsi" w:hAnsiTheme="minorHAnsi"/>
          <w:sz w:val="22"/>
          <w:szCs w:val="22"/>
        </w:rPr>
        <w:t>do</w:t>
      </w:r>
      <w:proofErr w:type="gramEnd"/>
      <w:r w:rsidRPr="000120EA">
        <w:rPr>
          <w:rFonts w:asciiTheme="minorHAnsi" w:hAnsiTheme="minorHAnsi"/>
          <w:sz w:val="22"/>
          <w:szCs w:val="22"/>
        </w:rPr>
        <w:t xml:space="preserve"> artigo 65º do Regulamento (UE) nº 1303/2013, de 17 de Dezembro identifica as disposições aplicáveis às operações geradoras de receita líquida</w:t>
      </w:r>
      <w:r w:rsidRPr="000120EA">
        <w:rPr>
          <w:rFonts w:asciiTheme="minorHAnsi" w:hAnsiTheme="minorHAnsi"/>
          <w:sz w:val="22"/>
          <w:szCs w:val="22"/>
          <w:vertAlign w:val="superscript"/>
        </w:rPr>
        <w:footnoteReference w:id="10"/>
      </w:r>
      <w:r w:rsidRPr="000120EA">
        <w:rPr>
          <w:rFonts w:asciiTheme="minorHAnsi" w:hAnsiTheme="minorHAnsi"/>
          <w:sz w:val="22"/>
          <w:szCs w:val="22"/>
        </w:rPr>
        <w:t xml:space="preserve"> durante a fase de execução física e financeira da operação, porém não enquadráveis no disposto nos nº 1 a 6 do  artigo 61º.</w:t>
      </w:r>
    </w:p>
    <w:p w14:paraId="23AA274B" w14:textId="77777777" w:rsidR="00483B31" w:rsidRPr="000120EA" w:rsidRDefault="00483B31" w:rsidP="009D51E4">
      <w:pPr>
        <w:spacing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 w:rsidRPr="000120EA">
        <w:rPr>
          <w:rFonts w:asciiTheme="minorHAnsi" w:hAnsiTheme="minorHAnsi"/>
          <w:sz w:val="22"/>
          <w:szCs w:val="22"/>
        </w:rPr>
        <w:t>Nestes casos, o mais tardar até ao momento da apresentação do pedido de pagamento final pelo beneficiário</w:t>
      </w:r>
      <w:r w:rsidRPr="000120EA">
        <w:rPr>
          <w:rFonts w:asciiTheme="minorHAnsi" w:hAnsiTheme="minorHAnsi"/>
          <w:sz w:val="22"/>
          <w:szCs w:val="22"/>
          <w:vertAlign w:val="superscript"/>
        </w:rPr>
        <w:footnoteReference w:id="11"/>
      </w:r>
      <w:r w:rsidRPr="000120EA">
        <w:rPr>
          <w:rFonts w:asciiTheme="minorHAnsi" w:hAnsiTheme="minorHAnsi"/>
          <w:sz w:val="22"/>
          <w:szCs w:val="22"/>
        </w:rPr>
        <w:t>, deverá ser deduzida</w:t>
      </w:r>
      <w:r w:rsidR="00EB0FD6">
        <w:rPr>
          <w:rFonts w:asciiTheme="minorHAnsi" w:hAnsiTheme="minorHAnsi"/>
          <w:sz w:val="22"/>
          <w:szCs w:val="22"/>
        </w:rPr>
        <w:t>,</w:t>
      </w:r>
      <w:r w:rsidRPr="000120EA">
        <w:rPr>
          <w:rFonts w:asciiTheme="minorHAnsi" w:hAnsiTheme="minorHAnsi"/>
          <w:sz w:val="22"/>
          <w:szCs w:val="22"/>
        </w:rPr>
        <w:t xml:space="preserve"> </w:t>
      </w:r>
      <w:r w:rsidR="00EB0FD6">
        <w:rPr>
          <w:rFonts w:asciiTheme="minorHAnsi" w:hAnsiTheme="minorHAnsi"/>
          <w:sz w:val="22"/>
          <w:szCs w:val="22"/>
        </w:rPr>
        <w:t>ao investimento total</w:t>
      </w:r>
      <w:r w:rsidRPr="000120EA">
        <w:rPr>
          <w:rFonts w:asciiTheme="minorHAnsi" w:hAnsiTheme="minorHAnsi"/>
          <w:sz w:val="22"/>
          <w:szCs w:val="22"/>
        </w:rPr>
        <w:t xml:space="preserve"> elegível</w:t>
      </w:r>
      <w:r w:rsidR="00EB0FD6">
        <w:rPr>
          <w:rFonts w:asciiTheme="minorHAnsi" w:hAnsiTheme="minorHAnsi"/>
          <w:sz w:val="22"/>
          <w:szCs w:val="22"/>
        </w:rPr>
        <w:t xml:space="preserve"> aprovado,</w:t>
      </w:r>
      <w:r w:rsidRPr="000120EA">
        <w:rPr>
          <w:rFonts w:asciiTheme="minorHAnsi" w:hAnsiTheme="minorHAnsi"/>
          <w:sz w:val="22"/>
          <w:szCs w:val="22"/>
        </w:rPr>
        <w:t xml:space="preserve"> a receita líquida gerada durante a execução </w:t>
      </w:r>
      <w:r w:rsidR="00C76A56">
        <w:rPr>
          <w:rFonts w:asciiTheme="minorHAnsi" w:hAnsiTheme="minorHAnsi"/>
          <w:sz w:val="22"/>
          <w:szCs w:val="22"/>
        </w:rPr>
        <w:t>da operação (</w:t>
      </w:r>
      <w:r w:rsidRPr="000120EA">
        <w:rPr>
          <w:rFonts w:asciiTheme="minorHAnsi" w:hAnsiTheme="minorHAnsi"/>
          <w:sz w:val="22"/>
          <w:szCs w:val="22"/>
        </w:rPr>
        <w:t xml:space="preserve">não considerada no momento da aprovação da </w:t>
      </w:r>
      <w:r w:rsidR="00C76A56">
        <w:rPr>
          <w:rFonts w:asciiTheme="minorHAnsi" w:hAnsiTheme="minorHAnsi"/>
          <w:sz w:val="22"/>
          <w:szCs w:val="22"/>
        </w:rPr>
        <w:t>candidatura)</w:t>
      </w:r>
      <w:r w:rsidRPr="000120EA">
        <w:rPr>
          <w:rFonts w:asciiTheme="minorHAnsi" w:hAnsiTheme="minorHAnsi"/>
          <w:sz w:val="22"/>
          <w:szCs w:val="22"/>
        </w:rPr>
        <w:t>.</w:t>
      </w:r>
    </w:p>
    <w:p w14:paraId="51B23CD7" w14:textId="77777777" w:rsidR="00483B31" w:rsidRPr="000120EA" w:rsidRDefault="00483B31" w:rsidP="00483B31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 w:rsidRPr="000120EA">
        <w:rPr>
          <w:rFonts w:asciiTheme="minorHAnsi" w:hAnsiTheme="minorHAnsi"/>
          <w:sz w:val="22"/>
          <w:szCs w:val="22"/>
        </w:rPr>
        <w:lastRenderedPageBreak/>
        <w:t>Nos casos em que a totalidade dos custos não seja elegível para cofinanciamento, a receita líquida deve ser proporcionalmente afetada à parte elegível e à parte não elegível do custo total de investimento.</w:t>
      </w:r>
    </w:p>
    <w:p w14:paraId="3DD4E0B8" w14:textId="77777777" w:rsidR="00731584" w:rsidRDefault="00483B31" w:rsidP="00731584">
      <w:pPr>
        <w:autoSpaceDE w:val="0"/>
        <w:autoSpaceDN w:val="0"/>
        <w:adjustRightInd w:val="0"/>
        <w:spacing w:before="120" w:after="120" w:line="360" w:lineRule="auto"/>
        <w:ind w:left="0"/>
        <w:jc w:val="both"/>
        <w:rPr>
          <w:rFonts w:asciiTheme="minorHAnsi" w:eastAsiaTheme="minorHAnsi" w:hAnsiTheme="minorHAnsi" w:cstheme="minorBidi"/>
          <w:spacing w:val="0"/>
          <w:sz w:val="22"/>
          <w:szCs w:val="22"/>
        </w:rPr>
      </w:pPr>
      <w:r w:rsidRPr="009D51E4">
        <w:rPr>
          <w:rFonts w:asciiTheme="minorHAnsi" w:hAnsiTheme="minorHAnsi"/>
          <w:sz w:val="22"/>
          <w:szCs w:val="22"/>
        </w:rPr>
        <w:t>A receita líquida gerada durante a execução da operação, resultante de fontes de receita não tidas em</w:t>
      </w:r>
      <w:r w:rsidRPr="000120EA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 consideração na determinação da receita líquida poten</w:t>
      </w:r>
      <w:r w:rsidR="00EB0FD6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cial da operação, será deduzida ao investimento total </w:t>
      </w:r>
      <w:r w:rsidRPr="009D51E4">
        <w:rPr>
          <w:rFonts w:asciiTheme="minorHAnsi" w:hAnsiTheme="minorHAnsi"/>
          <w:sz w:val="22"/>
          <w:szCs w:val="22"/>
        </w:rPr>
        <w:t>elegível o mais tardar até ao encerramento da operação.</w:t>
      </w:r>
      <w:bookmarkStart w:id="89" w:name="_Toc464481593"/>
    </w:p>
    <w:p w14:paraId="2ABDB9CD" w14:textId="77777777" w:rsidR="00483B31" w:rsidRPr="009D51E4" w:rsidRDefault="00483B31" w:rsidP="004E4505">
      <w:pPr>
        <w:pStyle w:val="PargrafodaLista"/>
        <w:numPr>
          <w:ilvl w:val="1"/>
          <w:numId w:val="45"/>
        </w:numPr>
        <w:ind w:left="1134" w:hanging="708"/>
        <w:rPr>
          <w:b/>
          <w:color w:val="4BACC6" w:themeColor="accent5"/>
        </w:rPr>
      </w:pPr>
      <w:bookmarkStart w:id="90" w:name="_Toc464485185"/>
      <w:r w:rsidRPr="009D51E4">
        <w:rPr>
          <w:b/>
          <w:color w:val="4BACC6" w:themeColor="accent5"/>
        </w:rPr>
        <w:t>Operações não geradoras de receitas</w:t>
      </w:r>
      <w:bookmarkEnd w:id="89"/>
      <w:bookmarkEnd w:id="90"/>
    </w:p>
    <w:p w14:paraId="4B8DC7D6" w14:textId="77777777" w:rsidR="000120EA" w:rsidRPr="000120EA" w:rsidRDefault="000120EA" w:rsidP="000120EA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 w:rsidRPr="000120EA">
        <w:rPr>
          <w:rFonts w:asciiTheme="minorHAnsi" w:hAnsiTheme="minorHAnsi"/>
          <w:sz w:val="22"/>
          <w:szCs w:val="22"/>
        </w:rPr>
        <w:t xml:space="preserve">Consideram-se como operações não geradoras de receitas aquelas </w:t>
      </w:r>
      <w:proofErr w:type="gramStart"/>
      <w:r w:rsidRPr="000120EA">
        <w:rPr>
          <w:rFonts w:asciiTheme="minorHAnsi" w:hAnsiTheme="minorHAnsi"/>
          <w:sz w:val="22"/>
          <w:szCs w:val="22"/>
        </w:rPr>
        <w:t>que</w:t>
      </w:r>
      <w:proofErr w:type="gramEnd"/>
      <w:r w:rsidRPr="000120EA">
        <w:rPr>
          <w:rFonts w:asciiTheme="minorHAnsi" w:hAnsiTheme="minorHAnsi"/>
          <w:sz w:val="22"/>
          <w:szCs w:val="22"/>
        </w:rPr>
        <w:t>:</w:t>
      </w:r>
    </w:p>
    <w:p w14:paraId="193838D5" w14:textId="77777777" w:rsidR="000120EA" w:rsidRPr="000120EA" w:rsidRDefault="000120EA" w:rsidP="00305028">
      <w:pPr>
        <w:numPr>
          <w:ilvl w:val="0"/>
          <w:numId w:val="20"/>
        </w:numPr>
        <w:tabs>
          <w:tab w:val="left" w:pos="709"/>
        </w:tabs>
        <w:spacing w:before="120" w:after="120" w:line="360" w:lineRule="auto"/>
        <w:ind w:left="709" w:hanging="283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0120EA">
        <w:rPr>
          <w:rFonts w:asciiTheme="minorHAnsi" w:eastAsia="Calibri" w:hAnsiTheme="minorHAnsi"/>
          <w:spacing w:val="0"/>
          <w:sz w:val="22"/>
          <w:szCs w:val="22"/>
        </w:rPr>
        <w:t>Não gerem quaisquer receitas, nem durante o período de execução física e financeira da operação nem durante o período de exploração;</w:t>
      </w:r>
    </w:p>
    <w:p w14:paraId="1CE8FFEC" w14:textId="77777777" w:rsidR="000120EA" w:rsidRPr="000120EA" w:rsidRDefault="000120EA" w:rsidP="00305028">
      <w:pPr>
        <w:numPr>
          <w:ilvl w:val="0"/>
          <w:numId w:val="20"/>
        </w:numPr>
        <w:tabs>
          <w:tab w:val="left" w:pos="709"/>
        </w:tabs>
        <w:spacing w:before="120" w:after="120" w:line="360" w:lineRule="auto"/>
        <w:ind w:left="709" w:hanging="283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0120EA">
        <w:rPr>
          <w:rFonts w:asciiTheme="minorHAnsi" w:eastAsia="Calibri" w:hAnsiTheme="minorHAnsi"/>
          <w:spacing w:val="0"/>
          <w:sz w:val="22"/>
          <w:szCs w:val="22"/>
        </w:rPr>
        <w:t>Gerem receitas significativamente mais baixas do que os custos operacionais ao longo de todo o período de referência;</w:t>
      </w:r>
    </w:p>
    <w:p w14:paraId="31AED195" w14:textId="77777777" w:rsidR="000120EA" w:rsidRDefault="000120EA" w:rsidP="004E4505">
      <w:pPr>
        <w:numPr>
          <w:ilvl w:val="0"/>
          <w:numId w:val="20"/>
        </w:numPr>
        <w:tabs>
          <w:tab w:val="left" w:pos="709"/>
        </w:tabs>
        <w:spacing w:before="120" w:after="120"/>
        <w:ind w:left="709" w:hanging="284"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0120EA">
        <w:rPr>
          <w:rFonts w:asciiTheme="minorHAnsi" w:eastAsia="Calibri" w:hAnsiTheme="minorHAnsi"/>
          <w:spacing w:val="0"/>
          <w:sz w:val="22"/>
          <w:szCs w:val="22"/>
        </w:rPr>
        <w:t>Gerem receitas que podem exceder os custos em alguns dos anos do período de referência mas cuja receita líquida atualizada se revele negativa no mesmo período.</w:t>
      </w:r>
    </w:p>
    <w:tbl>
      <w:tblPr>
        <w:tblStyle w:val="Tabelacomgrelha"/>
        <w:tblW w:w="9923" w:type="dxa"/>
        <w:tblInd w:w="-5" w:type="dxa"/>
        <w:shd w:val="clear" w:color="auto" w:fill="F4E62C"/>
        <w:tblLook w:val="04A0" w:firstRow="1" w:lastRow="0" w:firstColumn="1" w:lastColumn="0" w:noHBand="0" w:noVBand="1"/>
      </w:tblPr>
      <w:tblGrid>
        <w:gridCol w:w="9923"/>
      </w:tblGrid>
      <w:tr w:rsidR="000120EA" w:rsidRPr="000120EA" w14:paraId="31280E6A" w14:textId="77777777" w:rsidTr="009525E5">
        <w:tc>
          <w:tcPr>
            <w:tcW w:w="9923" w:type="dxa"/>
            <w:shd w:val="clear" w:color="auto" w:fill="F4E62C"/>
          </w:tcPr>
          <w:p w14:paraId="1AAB1A99" w14:textId="77777777" w:rsidR="000120EA" w:rsidRPr="000120EA" w:rsidRDefault="000120EA" w:rsidP="009E7734">
            <w:pPr>
              <w:tabs>
                <w:tab w:val="left" w:pos="284"/>
              </w:tabs>
              <w:spacing w:before="120" w:after="120" w:line="360" w:lineRule="auto"/>
              <w:ind w:left="29"/>
              <w:contextualSpacing/>
              <w:jc w:val="both"/>
              <w:rPr>
                <w:rFonts w:asciiTheme="minorHAnsi" w:eastAsia="Calibri" w:hAnsiTheme="minorHAnsi"/>
                <w:spacing w:val="0"/>
                <w:sz w:val="22"/>
                <w:szCs w:val="22"/>
              </w:rPr>
            </w:pPr>
            <w:r w:rsidRPr="000120EA">
              <w:rPr>
                <w:rFonts w:asciiTheme="minorHAnsi" w:eastAsia="Calibri" w:hAnsiTheme="minorHAnsi"/>
                <w:spacing w:val="0"/>
                <w:sz w:val="22"/>
                <w:szCs w:val="22"/>
              </w:rPr>
              <w:t xml:space="preserve">Nos casos </w:t>
            </w:r>
            <w:proofErr w:type="spellStart"/>
            <w:r w:rsidRPr="000120EA">
              <w:rPr>
                <w:rFonts w:asciiTheme="minorHAnsi" w:eastAsia="Calibri" w:hAnsiTheme="minorHAnsi"/>
                <w:spacing w:val="0"/>
                <w:sz w:val="22"/>
                <w:szCs w:val="22"/>
              </w:rPr>
              <w:t>ii</w:t>
            </w:r>
            <w:proofErr w:type="spellEnd"/>
            <w:r w:rsidRPr="000120EA">
              <w:rPr>
                <w:rFonts w:asciiTheme="minorHAnsi" w:eastAsia="Calibri" w:hAnsiTheme="minorHAnsi"/>
                <w:spacing w:val="0"/>
                <w:sz w:val="22"/>
                <w:szCs w:val="22"/>
              </w:rPr>
              <w:t xml:space="preserve"> e </w:t>
            </w:r>
            <w:proofErr w:type="spellStart"/>
            <w:r w:rsidRPr="000120EA">
              <w:rPr>
                <w:rFonts w:asciiTheme="minorHAnsi" w:eastAsia="Calibri" w:hAnsiTheme="minorHAnsi"/>
                <w:spacing w:val="0"/>
                <w:sz w:val="22"/>
                <w:szCs w:val="22"/>
              </w:rPr>
              <w:t>iii</w:t>
            </w:r>
            <w:proofErr w:type="spellEnd"/>
            <w:r w:rsidRPr="000120EA">
              <w:rPr>
                <w:rFonts w:asciiTheme="minorHAnsi" w:eastAsia="Calibri" w:hAnsiTheme="minorHAnsi"/>
                <w:spacing w:val="0"/>
                <w:sz w:val="22"/>
                <w:szCs w:val="22"/>
              </w:rPr>
              <w:t xml:space="preserve"> para os quais a receita líquida se afigure negativa</w:t>
            </w:r>
            <w:r w:rsidRPr="000120EA">
              <w:rPr>
                <w:rFonts w:asciiTheme="minorHAnsi" w:eastAsia="Calibri" w:hAnsiTheme="minorHAnsi"/>
                <w:spacing w:val="0"/>
                <w:sz w:val="22"/>
                <w:szCs w:val="22"/>
                <w:vertAlign w:val="superscript"/>
              </w:rPr>
              <w:footnoteReference w:id="12"/>
            </w:r>
            <w:r w:rsidRPr="000120EA">
              <w:rPr>
                <w:rFonts w:asciiTheme="minorHAnsi" w:eastAsia="Calibri" w:hAnsiTheme="minorHAnsi"/>
                <w:spacing w:val="0"/>
                <w:sz w:val="22"/>
                <w:szCs w:val="22"/>
              </w:rPr>
              <w:t xml:space="preserve">, não será considerada suficiente uma fundamentação empírica desta realidade, devendo o beneficiário apresentar EVF nos termos do ponto </w:t>
            </w:r>
            <w:r w:rsidR="009E7734">
              <w:rPr>
                <w:rFonts w:asciiTheme="minorHAnsi" w:eastAsia="Calibri" w:hAnsiTheme="minorHAnsi"/>
                <w:spacing w:val="0"/>
                <w:sz w:val="22"/>
                <w:szCs w:val="22"/>
              </w:rPr>
              <w:t>2</w:t>
            </w:r>
            <w:r w:rsidRPr="000120EA">
              <w:rPr>
                <w:rFonts w:asciiTheme="minorHAnsi" w:eastAsia="Calibri" w:hAnsiTheme="minorHAnsi"/>
                <w:spacing w:val="0"/>
                <w:sz w:val="22"/>
                <w:szCs w:val="22"/>
              </w:rPr>
              <w:t xml:space="preserve"> da presente nota de orientações que comprove tal situação.</w:t>
            </w:r>
          </w:p>
        </w:tc>
      </w:tr>
    </w:tbl>
    <w:p w14:paraId="7FBB84CA" w14:textId="77777777" w:rsidR="00F55BB0" w:rsidRDefault="00F55BB0" w:rsidP="00F55BB0">
      <w:pPr>
        <w:spacing w:before="120" w:after="120" w:line="360" w:lineRule="auto"/>
        <w:ind w:left="426"/>
        <w:contextualSpacing/>
        <w:outlineLvl w:val="0"/>
        <w:rPr>
          <w:rFonts w:asciiTheme="minorHAnsi" w:eastAsia="Calibri" w:hAnsiTheme="minorHAnsi"/>
          <w:b/>
          <w:color w:val="4BACC6" w:themeColor="accent5"/>
          <w:spacing w:val="0"/>
          <w:sz w:val="22"/>
          <w:szCs w:val="22"/>
        </w:rPr>
      </w:pPr>
      <w:bookmarkStart w:id="91" w:name="_Toc472438902"/>
    </w:p>
    <w:p w14:paraId="2938EAB4" w14:textId="77777777" w:rsidR="00F55BB0" w:rsidRDefault="00F55BB0" w:rsidP="00F55BB0">
      <w:pPr>
        <w:spacing w:before="120" w:after="120" w:line="360" w:lineRule="auto"/>
        <w:ind w:left="426"/>
        <w:contextualSpacing/>
        <w:outlineLvl w:val="0"/>
        <w:rPr>
          <w:rFonts w:asciiTheme="minorHAnsi" w:eastAsia="Calibri" w:hAnsiTheme="minorHAnsi"/>
          <w:b/>
          <w:color w:val="4BACC6" w:themeColor="accent5"/>
          <w:spacing w:val="0"/>
          <w:sz w:val="22"/>
          <w:szCs w:val="22"/>
        </w:rPr>
      </w:pPr>
    </w:p>
    <w:p w14:paraId="68BDC023" w14:textId="77777777" w:rsidR="00731584" w:rsidRPr="00564862" w:rsidRDefault="00533DFF" w:rsidP="00731584">
      <w:pPr>
        <w:numPr>
          <w:ilvl w:val="0"/>
          <w:numId w:val="13"/>
        </w:numPr>
        <w:spacing w:before="120" w:after="120" w:line="360" w:lineRule="auto"/>
        <w:ind w:left="426" w:hanging="426"/>
        <w:contextualSpacing/>
        <w:outlineLvl w:val="0"/>
        <w:rPr>
          <w:rFonts w:asciiTheme="minorHAnsi" w:eastAsia="Calibri" w:hAnsiTheme="minorHAnsi"/>
          <w:b/>
          <w:color w:val="4BACC6" w:themeColor="accent5"/>
          <w:spacing w:val="0"/>
          <w:sz w:val="22"/>
          <w:szCs w:val="22"/>
        </w:rPr>
      </w:pPr>
      <w:r w:rsidRPr="00564862">
        <w:rPr>
          <w:rFonts w:asciiTheme="minorHAnsi" w:eastAsia="Calibri" w:hAnsiTheme="minorHAnsi"/>
          <w:b/>
          <w:color w:val="4BACC6" w:themeColor="accent5"/>
          <w:spacing w:val="0"/>
          <w:sz w:val="22"/>
          <w:szCs w:val="22"/>
        </w:rPr>
        <w:t>Acompanhamento e quantificação da receita líquida</w:t>
      </w:r>
      <w:bookmarkEnd w:id="91"/>
    </w:p>
    <w:p w14:paraId="5280F16E" w14:textId="77777777" w:rsidR="000120EA" w:rsidRDefault="000120EA" w:rsidP="000120EA">
      <w:pPr>
        <w:autoSpaceDE w:val="0"/>
        <w:autoSpaceDN w:val="0"/>
        <w:adjustRightInd w:val="0"/>
        <w:spacing w:before="120" w:after="120" w:line="360" w:lineRule="auto"/>
        <w:ind w:left="0"/>
        <w:jc w:val="both"/>
        <w:rPr>
          <w:rFonts w:asciiTheme="minorHAnsi" w:eastAsiaTheme="minorHAnsi" w:hAnsiTheme="minorHAnsi" w:cstheme="minorBidi"/>
          <w:spacing w:val="0"/>
          <w:sz w:val="22"/>
          <w:szCs w:val="22"/>
        </w:rPr>
      </w:pPr>
      <w:r w:rsidRPr="000120EA">
        <w:rPr>
          <w:rFonts w:asciiTheme="minorHAnsi" w:eastAsiaTheme="minorHAnsi" w:hAnsiTheme="minorHAnsi" w:cstheme="minorBidi"/>
          <w:spacing w:val="0"/>
          <w:sz w:val="22"/>
          <w:szCs w:val="22"/>
        </w:rPr>
        <w:t>Nos casos em que seja objetivamente impossível determinar previamente a receita líquida potencial de uma operação, será deduzida da despesa elegível declarada à Comissão a receita líquida gerada no prazo de três anos após a conclusão da operação ou até ao termo do prazo para a apresentação dos documentos para o encerramento do Programa, fixado nas regras específicas do Fundo, se esta data for anterior. Esta dedução corresponderá à devolução correspondente de Fundos Comunitários pelo beneficiário da operação</w:t>
      </w:r>
      <w:r w:rsidR="003336CF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, a qual </w:t>
      </w:r>
      <w:r w:rsidR="003336CF" w:rsidRPr="008D0296">
        <w:rPr>
          <w:rFonts w:asciiTheme="minorHAnsi" w:eastAsiaTheme="minorHAnsi" w:hAnsiTheme="minorHAnsi" w:cstheme="minorBidi"/>
          <w:spacing w:val="0"/>
          <w:sz w:val="22"/>
          <w:szCs w:val="22"/>
        </w:rPr>
        <w:t>será repercutida nos pagamentos ao beneficiário de ac</w:t>
      </w:r>
      <w:r w:rsidR="003336CF">
        <w:rPr>
          <w:rFonts w:asciiTheme="minorHAnsi" w:eastAsiaTheme="minorHAnsi" w:hAnsiTheme="minorHAnsi" w:cstheme="minorBidi"/>
          <w:spacing w:val="0"/>
          <w:sz w:val="22"/>
          <w:szCs w:val="22"/>
        </w:rPr>
        <w:t xml:space="preserve">ordo com a proporção do custo </w:t>
      </w:r>
      <w:r w:rsidR="003336CF" w:rsidRPr="008D0296">
        <w:rPr>
          <w:rFonts w:asciiTheme="minorHAnsi" w:eastAsiaTheme="minorHAnsi" w:hAnsiTheme="minorHAnsi" w:cstheme="minorBidi"/>
          <w:spacing w:val="0"/>
          <w:sz w:val="22"/>
          <w:szCs w:val="22"/>
        </w:rPr>
        <w:t>elegível e com a taxa de cofinanciamento adotada.</w:t>
      </w:r>
    </w:p>
    <w:p w14:paraId="37BAE653" w14:textId="77777777" w:rsidR="003336CF" w:rsidRPr="000120EA" w:rsidRDefault="003336CF" w:rsidP="000120EA">
      <w:pPr>
        <w:autoSpaceDE w:val="0"/>
        <w:autoSpaceDN w:val="0"/>
        <w:adjustRightInd w:val="0"/>
        <w:spacing w:before="120" w:after="120" w:line="360" w:lineRule="auto"/>
        <w:ind w:left="0"/>
        <w:jc w:val="both"/>
        <w:rPr>
          <w:rFonts w:asciiTheme="minorHAnsi" w:eastAsiaTheme="minorHAnsi" w:hAnsiTheme="minorHAnsi" w:cstheme="minorBidi"/>
          <w:spacing w:val="0"/>
          <w:sz w:val="22"/>
          <w:szCs w:val="22"/>
        </w:rPr>
      </w:pPr>
      <w:r w:rsidRPr="003336CF">
        <w:rPr>
          <w:rFonts w:asciiTheme="minorHAnsi" w:eastAsiaTheme="minorHAnsi" w:hAnsiTheme="minorHAnsi" w:cstheme="minorBidi"/>
          <w:spacing w:val="0"/>
          <w:sz w:val="22"/>
          <w:szCs w:val="22"/>
        </w:rPr>
        <w:lastRenderedPageBreak/>
        <w:t xml:space="preserve">Neste âmbito, o </w:t>
      </w:r>
      <w:r>
        <w:rPr>
          <w:rFonts w:asciiTheme="minorHAnsi" w:eastAsiaTheme="minorHAnsi" w:hAnsiTheme="minorHAnsi" w:cstheme="minorBidi"/>
          <w:spacing w:val="0"/>
          <w:sz w:val="22"/>
          <w:szCs w:val="22"/>
        </w:rPr>
        <w:t>B</w:t>
      </w:r>
      <w:r w:rsidRPr="003336CF">
        <w:rPr>
          <w:rFonts w:asciiTheme="minorHAnsi" w:eastAsiaTheme="minorHAnsi" w:hAnsiTheme="minorHAnsi" w:cstheme="minorBidi"/>
          <w:spacing w:val="0"/>
          <w:sz w:val="22"/>
          <w:szCs w:val="22"/>
        </w:rPr>
        <w:t>eneficiário deverá assegurar um registo contabilístico das receitas que permita ser validado pela Autoridade de Gestão.</w:t>
      </w:r>
    </w:p>
    <w:p w14:paraId="1822BE12" w14:textId="77777777" w:rsidR="000120EA" w:rsidRDefault="000120EA" w:rsidP="000120EA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 w:rsidRPr="000120EA">
        <w:rPr>
          <w:rFonts w:asciiTheme="minorHAnsi" w:hAnsiTheme="minorHAnsi"/>
          <w:sz w:val="22"/>
          <w:szCs w:val="22"/>
        </w:rPr>
        <w:t>De acordo com o disposto no número 4 do artigo 19º do Decreto-lei nº 159/2014, de 27 de Outubro, a Autoridade de Gestão deve proceder à respetiva comunicação à Agência para o Desenvolvimento e Coesão das situações acima descritas, nas condições a definir por esta, para efeitos de dedução na despesa declarada à Comissão Europeia.</w:t>
      </w:r>
    </w:p>
    <w:p w14:paraId="07E269B2" w14:textId="77777777" w:rsidR="003336CF" w:rsidRDefault="003336CF" w:rsidP="003336CF">
      <w:pPr>
        <w:autoSpaceDE w:val="0"/>
        <w:autoSpaceDN w:val="0"/>
        <w:adjustRightInd w:val="0"/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Por seu lado, no caso d</w:t>
      </w:r>
      <w:r w:rsidRPr="008D0296">
        <w:rPr>
          <w:rFonts w:asciiTheme="minorHAnsi" w:hAnsiTheme="minorHAnsi"/>
          <w:sz w:val="22"/>
          <w:szCs w:val="22"/>
        </w:rPr>
        <w:t xml:space="preserve">os projetos geradores de receitas, </w:t>
      </w:r>
      <w:r>
        <w:rPr>
          <w:rFonts w:asciiTheme="minorHAnsi" w:hAnsiTheme="minorHAnsi"/>
          <w:sz w:val="22"/>
          <w:szCs w:val="22"/>
        </w:rPr>
        <w:t>incumbe à Autoridade de Gestão a</w:t>
      </w:r>
      <w:r w:rsidR="00533DFF">
        <w:rPr>
          <w:rFonts w:asciiTheme="minorHAnsi" w:hAnsiTheme="minorHAnsi"/>
          <w:sz w:val="22"/>
          <w:szCs w:val="22"/>
        </w:rPr>
        <w:t xml:space="preserve"> implementação de procedimentos </w:t>
      </w:r>
      <w:r>
        <w:rPr>
          <w:rFonts w:asciiTheme="minorHAnsi" w:hAnsiTheme="minorHAnsi"/>
          <w:sz w:val="22"/>
          <w:szCs w:val="22"/>
        </w:rPr>
        <w:t>no sentido da verificação</w:t>
      </w:r>
      <w:r w:rsidRPr="004143F7">
        <w:t xml:space="preserve"> </w:t>
      </w:r>
      <w:r>
        <w:t>d</w:t>
      </w:r>
      <w:r w:rsidRPr="004143F7">
        <w:rPr>
          <w:rFonts w:asciiTheme="minorHAnsi" w:hAnsiTheme="minorHAnsi"/>
          <w:sz w:val="22"/>
          <w:szCs w:val="22"/>
        </w:rPr>
        <w:t>a exatidão da receita líquida reportada pelos beneficiários</w:t>
      </w:r>
      <w:r>
        <w:rPr>
          <w:rFonts w:asciiTheme="minorHAnsi" w:hAnsiTheme="minorHAnsi"/>
          <w:sz w:val="22"/>
          <w:szCs w:val="22"/>
        </w:rPr>
        <w:t xml:space="preserve"> de forma a acautelar o financiamento excessivo de operações, viabilizando a realocação de Fundos caso essa situação se verifique.</w:t>
      </w:r>
    </w:p>
    <w:p w14:paraId="13FD8B23" w14:textId="77777777" w:rsidR="003336CF" w:rsidRDefault="003336CF" w:rsidP="003336CF">
      <w:pPr>
        <w:autoSpaceDE w:val="0"/>
        <w:autoSpaceDN w:val="0"/>
        <w:adjustRightInd w:val="0"/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Neste sentido é solicitado aos Beneficiários que, em sede de encerramento da operação, remetam declaração na qual atestam quanto à existência de novas receitas ou à alteração de pressupostos passíveis de justificar uma alteração do défice de financiamento aplicável à operação, identificando-se nos pontos seguintes as situações em que tal pode ocorrer.</w:t>
      </w:r>
    </w:p>
    <w:p w14:paraId="45444854" w14:textId="77777777" w:rsidR="00F55BB0" w:rsidRDefault="00F55BB0" w:rsidP="00F55BB0">
      <w:pPr>
        <w:tabs>
          <w:tab w:val="left" w:pos="993"/>
        </w:tabs>
        <w:ind w:left="0"/>
        <w:rPr>
          <w:rFonts w:ascii="Calibri" w:eastAsia="Calibri" w:hAnsi="Calibri"/>
          <w:b/>
          <w:vanish/>
          <w:color w:val="4BACC6" w:themeColor="accent5"/>
          <w:spacing w:val="0"/>
          <w:sz w:val="22"/>
          <w:szCs w:val="22"/>
        </w:rPr>
      </w:pPr>
      <w:bookmarkStart w:id="92" w:name="_Toc464481636"/>
      <w:bookmarkStart w:id="93" w:name="_Toc464485187"/>
    </w:p>
    <w:p w14:paraId="00CF7D68" w14:textId="15C18495" w:rsidR="003336CF" w:rsidRDefault="003336CF" w:rsidP="00F55BB0">
      <w:pPr>
        <w:tabs>
          <w:tab w:val="left" w:pos="993"/>
        </w:tabs>
        <w:ind w:left="0"/>
        <w:rPr>
          <w:b/>
          <w:color w:val="4BACC6" w:themeColor="accent5"/>
        </w:rPr>
      </w:pPr>
      <w:r w:rsidRPr="00F55BB0">
        <w:rPr>
          <w:b/>
          <w:color w:val="4BACC6" w:themeColor="accent5"/>
        </w:rPr>
        <w:t>Alteração do défice de financiamento</w:t>
      </w:r>
      <w:bookmarkEnd w:id="92"/>
      <w:bookmarkEnd w:id="93"/>
    </w:p>
    <w:p w14:paraId="6797A611" w14:textId="77777777" w:rsidR="00F55BB0" w:rsidRPr="00F55BB0" w:rsidRDefault="00F55BB0" w:rsidP="00F55BB0">
      <w:pPr>
        <w:tabs>
          <w:tab w:val="left" w:pos="993"/>
        </w:tabs>
        <w:ind w:left="0"/>
        <w:rPr>
          <w:b/>
          <w:color w:val="4BACC6" w:themeColor="accent5"/>
        </w:rPr>
      </w:pPr>
    </w:p>
    <w:p w14:paraId="330AC165" w14:textId="77777777" w:rsidR="003336CF" w:rsidRPr="0039631F" w:rsidRDefault="003336CF" w:rsidP="003336CF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 w:rsidRPr="0039631F">
        <w:rPr>
          <w:rFonts w:asciiTheme="minorHAnsi" w:hAnsiTheme="minorHAnsi"/>
          <w:sz w:val="22"/>
          <w:szCs w:val="22"/>
        </w:rPr>
        <w:t>O défice de financiamento deve ser recalculado quando se registarem alterações dos pressupostos considerados anteriormente em resultado das seguintes situações:</w:t>
      </w:r>
    </w:p>
    <w:p w14:paraId="3EAA0587" w14:textId="77777777" w:rsidR="003336CF" w:rsidRPr="0039631F" w:rsidRDefault="003336CF" w:rsidP="00305028">
      <w:pPr>
        <w:pStyle w:val="PargrafodaLista"/>
        <w:numPr>
          <w:ilvl w:val="0"/>
          <w:numId w:val="36"/>
        </w:numPr>
        <w:spacing w:before="120" w:after="120" w:line="360" w:lineRule="auto"/>
        <w:jc w:val="both"/>
        <w:rPr>
          <w:rFonts w:asciiTheme="minorHAnsi" w:eastAsia="Times New Roman" w:hAnsiTheme="minorHAnsi"/>
          <w:spacing w:val="-5"/>
        </w:rPr>
      </w:pPr>
      <w:r w:rsidRPr="0039631F">
        <w:rPr>
          <w:rFonts w:asciiTheme="minorHAnsi" w:eastAsia="Times New Roman" w:hAnsiTheme="minorHAnsi"/>
          <w:spacing w:val="-5"/>
        </w:rPr>
        <w:t>Novos tipos de fontes de receitas geradas pelo projeto não consideradas aquando do cálculo do défice de financiamento e/ou ocorridas após o seu cálculo;</w:t>
      </w:r>
    </w:p>
    <w:p w14:paraId="1BA2D61D" w14:textId="77777777" w:rsidR="003336CF" w:rsidRPr="0039631F" w:rsidRDefault="003336CF" w:rsidP="00305028">
      <w:pPr>
        <w:pStyle w:val="PargrafodaLista"/>
        <w:numPr>
          <w:ilvl w:val="0"/>
          <w:numId w:val="36"/>
        </w:numPr>
        <w:spacing w:before="120" w:after="120" w:line="360" w:lineRule="auto"/>
        <w:jc w:val="both"/>
        <w:rPr>
          <w:rFonts w:asciiTheme="minorHAnsi" w:eastAsia="Times New Roman" w:hAnsiTheme="minorHAnsi"/>
          <w:spacing w:val="-5"/>
        </w:rPr>
      </w:pPr>
      <w:r w:rsidRPr="0039631F">
        <w:rPr>
          <w:rFonts w:asciiTheme="minorHAnsi" w:eastAsia="Times New Roman" w:hAnsiTheme="minorHAnsi"/>
          <w:spacing w:val="-5"/>
        </w:rPr>
        <w:t>Alteração na política tarifária que se traduzam num acréscimo de receitas;</w:t>
      </w:r>
    </w:p>
    <w:p w14:paraId="50FCCC09" w14:textId="77777777" w:rsidR="003336CF" w:rsidRPr="0039631F" w:rsidRDefault="003336CF" w:rsidP="00305028">
      <w:pPr>
        <w:pStyle w:val="PargrafodaLista"/>
        <w:numPr>
          <w:ilvl w:val="0"/>
          <w:numId w:val="36"/>
        </w:numPr>
        <w:spacing w:before="120" w:after="120" w:line="360" w:lineRule="auto"/>
        <w:jc w:val="both"/>
        <w:rPr>
          <w:rFonts w:asciiTheme="minorHAnsi" w:eastAsia="Times New Roman" w:hAnsiTheme="minorHAnsi"/>
          <w:spacing w:val="-5"/>
        </w:rPr>
      </w:pPr>
      <w:r w:rsidRPr="0039631F">
        <w:rPr>
          <w:rFonts w:asciiTheme="minorHAnsi" w:eastAsia="Times New Roman" w:hAnsiTheme="minorHAnsi"/>
          <w:spacing w:val="-5"/>
        </w:rPr>
        <w:t>Diminuição de custos operacionais conducente a um acréscimo da receita líquida do projeto.</w:t>
      </w:r>
    </w:p>
    <w:p w14:paraId="0D2C4346" w14:textId="77777777" w:rsidR="003336CF" w:rsidRPr="0039631F" w:rsidRDefault="003336CF" w:rsidP="003336CF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 w:rsidRPr="0039631F">
        <w:rPr>
          <w:rFonts w:asciiTheme="minorHAnsi" w:hAnsiTheme="minorHAnsi"/>
          <w:sz w:val="22"/>
          <w:szCs w:val="22"/>
        </w:rPr>
        <w:t xml:space="preserve">Em qualquer das situações descritas, pode verificar-se </w:t>
      </w:r>
      <w:proofErr w:type="gramStart"/>
      <w:r w:rsidRPr="0039631F">
        <w:rPr>
          <w:rFonts w:asciiTheme="minorHAnsi" w:hAnsiTheme="minorHAnsi"/>
          <w:sz w:val="22"/>
          <w:szCs w:val="22"/>
        </w:rPr>
        <w:t>que</w:t>
      </w:r>
      <w:proofErr w:type="gramEnd"/>
      <w:r w:rsidRPr="0039631F">
        <w:rPr>
          <w:rFonts w:asciiTheme="minorHAnsi" w:hAnsiTheme="minorHAnsi"/>
          <w:sz w:val="22"/>
          <w:szCs w:val="22"/>
        </w:rPr>
        <w:t>:</w:t>
      </w:r>
    </w:p>
    <w:p w14:paraId="761D8B46" w14:textId="77777777" w:rsidR="003336CF" w:rsidRPr="0039631F" w:rsidRDefault="003336CF" w:rsidP="00305028">
      <w:pPr>
        <w:pStyle w:val="PargrafodaLista"/>
        <w:numPr>
          <w:ilvl w:val="0"/>
          <w:numId w:val="37"/>
        </w:numPr>
        <w:spacing w:before="120" w:after="120" w:line="360" w:lineRule="auto"/>
        <w:jc w:val="both"/>
        <w:rPr>
          <w:rFonts w:asciiTheme="minorHAnsi" w:eastAsia="Times New Roman" w:hAnsiTheme="minorHAnsi"/>
          <w:spacing w:val="-5"/>
        </w:rPr>
      </w:pPr>
      <w:proofErr w:type="gramStart"/>
      <w:r w:rsidRPr="0039631F">
        <w:rPr>
          <w:rFonts w:asciiTheme="minorHAnsi" w:eastAsia="Times New Roman" w:hAnsiTheme="minorHAnsi"/>
          <w:spacing w:val="-5"/>
        </w:rPr>
        <w:t>um</w:t>
      </w:r>
      <w:proofErr w:type="gramEnd"/>
      <w:r w:rsidRPr="0039631F">
        <w:rPr>
          <w:rFonts w:asciiTheme="minorHAnsi" w:eastAsia="Times New Roman" w:hAnsiTheme="minorHAnsi"/>
          <w:spacing w:val="-5"/>
        </w:rPr>
        <w:t xml:space="preserve"> projeto ao qual não foi aplicado o cálculo do défice de financiamento por ter receitas líquidas estimadas negativas, deixa de estar nessa situação face aos dados revistos;</w:t>
      </w:r>
    </w:p>
    <w:p w14:paraId="6674FB22" w14:textId="77777777" w:rsidR="003336CF" w:rsidRPr="0039631F" w:rsidRDefault="003336CF" w:rsidP="003336CF">
      <w:pPr>
        <w:pStyle w:val="PargrafodaLista"/>
        <w:spacing w:before="120" w:after="120" w:line="360" w:lineRule="auto"/>
        <w:ind w:left="767"/>
        <w:jc w:val="both"/>
        <w:rPr>
          <w:rFonts w:asciiTheme="minorHAnsi" w:eastAsia="Times New Roman" w:hAnsiTheme="minorHAnsi"/>
          <w:spacing w:val="-5"/>
        </w:rPr>
      </w:pPr>
      <w:proofErr w:type="gramStart"/>
      <w:r w:rsidRPr="0039631F">
        <w:rPr>
          <w:rFonts w:asciiTheme="minorHAnsi" w:eastAsia="Times New Roman" w:hAnsiTheme="minorHAnsi"/>
          <w:spacing w:val="-5"/>
        </w:rPr>
        <w:t>ou</w:t>
      </w:r>
      <w:proofErr w:type="gramEnd"/>
      <w:r w:rsidRPr="0039631F">
        <w:rPr>
          <w:rFonts w:asciiTheme="minorHAnsi" w:eastAsia="Times New Roman" w:hAnsiTheme="minorHAnsi"/>
          <w:spacing w:val="-5"/>
        </w:rPr>
        <w:t xml:space="preserve"> </w:t>
      </w:r>
    </w:p>
    <w:p w14:paraId="30D32730" w14:textId="77777777" w:rsidR="003336CF" w:rsidRPr="0039631F" w:rsidRDefault="003336CF" w:rsidP="00305028">
      <w:pPr>
        <w:pStyle w:val="PargrafodaLista"/>
        <w:numPr>
          <w:ilvl w:val="0"/>
          <w:numId w:val="37"/>
        </w:numPr>
        <w:spacing w:before="120" w:after="120" w:line="360" w:lineRule="auto"/>
        <w:jc w:val="both"/>
        <w:rPr>
          <w:rFonts w:asciiTheme="minorHAnsi" w:eastAsia="Times New Roman" w:hAnsiTheme="minorHAnsi"/>
          <w:spacing w:val="-5"/>
        </w:rPr>
      </w:pPr>
      <w:proofErr w:type="gramStart"/>
      <w:r w:rsidRPr="0039631F">
        <w:rPr>
          <w:rFonts w:asciiTheme="minorHAnsi" w:eastAsia="Times New Roman" w:hAnsiTheme="minorHAnsi"/>
          <w:spacing w:val="-5"/>
        </w:rPr>
        <w:t>o</w:t>
      </w:r>
      <w:proofErr w:type="gramEnd"/>
      <w:r w:rsidRPr="0039631F">
        <w:rPr>
          <w:rFonts w:asciiTheme="minorHAnsi" w:eastAsia="Times New Roman" w:hAnsiTheme="minorHAnsi"/>
          <w:spacing w:val="-5"/>
        </w:rPr>
        <w:t xml:space="preserve"> resultado do cálculo que originou a determinação do montante de comparticipação foi significativamente superior ao que resulta dos valores revistos.</w:t>
      </w:r>
    </w:p>
    <w:p w14:paraId="2F931C21" w14:textId="7FEE3648" w:rsidR="003336CF" w:rsidRPr="0039631F" w:rsidRDefault="003336CF" w:rsidP="003336CF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Nesta</w:t>
      </w:r>
      <w:r w:rsidR="001636EF">
        <w:rPr>
          <w:rFonts w:asciiTheme="minorHAnsi" w:hAnsiTheme="minorHAnsi"/>
          <w:sz w:val="22"/>
          <w:szCs w:val="22"/>
        </w:rPr>
        <w:t>s</w:t>
      </w:r>
      <w:r>
        <w:rPr>
          <w:rFonts w:asciiTheme="minorHAnsi" w:hAnsiTheme="minorHAnsi"/>
          <w:sz w:val="22"/>
          <w:szCs w:val="22"/>
        </w:rPr>
        <w:t xml:space="preserve"> circunstâncias será </w:t>
      </w:r>
      <w:r w:rsidRPr="0039631F">
        <w:rPr>
          <w:rFonts w:asciiTheme="minorHAnsi" w:hAnsiTheme="minorHAnsi"/>
          <w:sz w:val="22"/>
          <w:szCs w:val="22"/>
        </w:rPr>
        <w:t>deduzida da despes</w:t>
      </w:r>
      <w:r>
        <w:rPr>
          <w:rFonts w:asciiTheme="minorHAnsi" w:hAnsiTheme="minorHAnsi"/>
          <w:sz w:val="22"/>
          <w:szCs w:val="22"/>
        </w:rPr>
        <w:t>a elegível</w:t>
      </w:r>
      <w:r w:rsidR="00BD7E30">
        <w:rPr>
          <w:rFonts w:asciiTheme="minorHAnsi" w:hAnsiTheme="minorHAnsi"/>
          <w:sz w:val="22"/>
          <w:szCs w:val="22"/>
        </w:rPr>
        <w:t xml:space="preserve"> da operação e da</w:t>
      </w:r>
      <w:r>
        <w:rPr>
          <w:rFonts w:asciiTheme="minorHAnsi" w:hAnsiTheme="minorHAnsi"/>
          <w:sz w:val="22"/>
          <w:szCs w:val="22"/>
        </w:rPr>
        <w:t xml:space="preserve"> declarada à Comissão, tendo subjacente a dedução a refletir </w:t>
      </w:r>
      <w:r w:rsidR="001636EF">
        <w:rPr>
          <w:rFonts w:asciiTheme="minorHAnsi" w:hAnsiTheme="minorHAnsi"/>
          <w:sz w:val="22"/>
          <w:szCs w:val="22"/>
        </w:rPr>
        <w:t xml:space="preserve">nos pagamentos ao beneficiário, com </w:t>
      </w:r>
      <w:r w:rsidRPr="0039631F">
        <w:rPr>
          <w:rFonts w:asciiTheme="minorHAnsi" w:hAnsiTheme="minorHAnsi"/>
          <w:sz w:val="22"/>
          <w:szCs w:val="22"/>
        </w:rPr>
        <w:t xml:space="preserve">base </w:t>
      </w:r>
      <w:r w:rsidR="001636EF">
        <w:rPr>
          <w:rFonts w:asciiTheme="minorHAnsi" w:hAnsiTheme="minorHAnsi"/>
          <w:sz w:val="22"/>
          <w:szCs w:val="22"/>
        </w:rPr>
        <w:t>na</w:t>
      </w:r>
      <w:r w:rsidRPr="0039631F">
        <w:rPr>
          <w:rFonts w:asciiTheme="minorHAnsi" w:hAnsiTheme="minorHAnsi"/>
          <w:sz w:val="22"/>
          <w:szCs w:val="22"/>
        </w:rPr>
        <w:t xml:space="preserve"> diferença entre o Fundo inicialmente atribuído ao </w:t>
      </w:r>
      <w:r w:rsidRPr="0039631F">
        <w:rPr>
          <w:rFonts w:asciiTheme="minorHAnsi" w:hAnsiTheme="minorHAnsi"/>
          <w:sz w:val="22"/>
          <w:szCs w:val="22"/>
        </w:rPr>
        <w:lastRenderedPageBreak/>
        <w:t>projeto e o obtido com o cálculo do défice de financiamento revisto. Uma vez que o custo do investimento constitui uma base para a definição do montante máximo elegível, um eventual aumento neste custo poderá anular o efeito dos aumentos das receitas líquidas.</w:t>
      </w:r>
    </w:p>
    <w:p w14:paraId="39AAE09A" w14:textId="77777777" w:rsidR="003336CF" w:rsidRDefault="003336CF" w:rsidP="003336CF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 w:rsidRPr="0039631F">
        <w:rPr>
          <w:rFonts w:asciiTheme="minorHAnsi" w:hAnsiTheme="minorHAnsi"/>
          <w:sz w:val="22"/>
          <w:szCs w:val="22"/>
        </w:rPr>
        <w:t>Por último, salienta-se que, caso seja comprovado que na candidatura do projeto foram apresentadas receitas deliberadamente subestimadas, poderá configurar uma situação de irregularidade</w:t>
      </w:r>
      <w:r w:rsidRPr="004143F7">
        <w:rPr>
          <w:rFonts w:asciiTheme="minorHAnsi" w:hAnsiTheme="minorHAnsi"/>
          <w:sz w:val="22"/>
          <w:szCs w:val="22"/>
        </w:rPr>
        <w:t>.</w:t>
      </w:r>
    </w:p>
    <w:p w14:paraId="6B7739C7" w14:textId="77777777" w:rsidR="003336CF" w:rsidRDefault="003336CF" w:rsidP="003336CF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 referir que situações de a</w:t>
      </w:r>
      <w:r w:rsidRPr="004143F7">
        <w:rPr>
          <w:rFonts w:asciiTheme="minorHAnsi" w:hAnsiTheme="minorHAnsi"/>
          <w:sz w:val="22"/>
          <w:szCs w:val="22"/>
        </w:rPr>
        <w:t>créscimo ou decréscimo de fontes de rendimento anteriormente consideradas no cálculo do</w:t>
      </w:r>
      <w:r>
        <w:rPr>
          <w:rFonts w:asciiTheme="minorHAnsi" w:hAnsiTheme="minorHAnsi"/>
          <w:sz w:val="22"/>
          <w:szCs w:val="22"/>
        </w:rPr>
        <w:t xml:space="preserve"> </w:t>
      </w:r>
      <w:r w:rsidRPr="004143F7">
        <w:rPr>
          <w:rFonts w:asciiTheme="minorHAnsi" w:hAnsiTheme="minorHAnsi"/>
          <w:sz w:val="22"/>
          <w:szCs w:val="22"/>
        </w:rPr>
        <w:t xml:space="preserve">défice de financiamento </w:t>
      </w:r>
      <w:r>
        <w:rPr>
          <w:rFonts w:asciiTheme="minorHAnsi" w:hAnsiTheme="minorHAnsi"/>
          <w:sz w:val="22"/>
          <w:szCs w:val="22"/>
        </w:rPr>
        <w:t>ou a</w:t>
      </w:r>
      <w:r w:rsidRPr="004143F7">
        <w:rPr>
          <w:rFonts w:asciiTheme="minorHAnsi" w:hAnsiTheme="minorHAnsi"/>
          <w:sz w:val="22"/>
          <w:szCs w:val="22"/>
        </w:rPr>
        <w:t xml:space="preserve">lterações na procura ou outros fatores económicos externos </w:t>
      </w:r>
      <w:r>
        <w:rPr>
          <w:rFonts w:asciiTheme="minorHAnsi" w:hAnsiTheme="minorHAnsi"/>
          <w:sz w:val="22"/>
          <w:szCs w:val="22"/>
        </w:rPr>
        <w:t xml:space="preserve">não serão consideradas para efeitos de revisão do </w:t>
      </w:r>
      <w:r w:rsidRPr="004143F7">
        <w:rPr>
          <w:rFonts w:asciiTheme="minorHAnsi" w:hAnsiTheme="minorHAnsi"/>
          <w:sz w:val="22"/>
          <w:szCs w:val="22"/>
        </w:rPr>
        <w:t>défice de financiamento</w:t>
      </w:r>
      <w:r>
        <w:rPr>
          <w:rFonts w:asciiTheme="minorHAnsi" w:hAnsiTheme="minorHAnsi"/>
          <w:sz w:val="22"/>
          <w:szCs w:val="22"/>
        </w:rPr>
        <w:t>, o qual</w:t>
      </w:r>
      <w:r w:rsidRPr="004143F7">
        <w:rPr>
          <w:rFonts w:asciiTheme="minorHAnsi" w:hAnsiTheme="minorHAnsi"/>
          <w:sz w:val="22"/>
          <w:szCs w:val="22"/>
        </w:rPr>
        <w:t xml:space="preserve"> permanecerá inalterável, </w:t>
      </w:r>
      <w:r>
        <w:rPr>
          <w:rFonts w:asciiTheme="minorHAnsi" w:hAnsiTheme="minorHAnsi"/>
          <w:sz w:val="22"/>
          <w:szCs w:val="22"/>
        </w:rPr>
        <w:t xml:space="preserve">não </w:t>
      </w:r>
      <w:r w:rsidRPr="004143F7">
        <w:rPr>
          <w:rFonts w:asciiTheme="minorHAnsi" w:hAnsiTheme="minorHAnsi"/>
          <w:sz w:val="22"/>
          <w:szCs w:val="22"/>
        </w:rPr>
        <w:t>se</w:t>
      </w:r>
      <w:r>
        <w:rPr>
          <w:rFonts w:asciiTheme="minorHAnsi" w:hAnsiTheme="minorHAnsi"/>
          <w:sz w:val="22"/>
          <w:szCs w:val="22"/>
        </w:rPr>
        <w:t xml:space="preserve">ndo </w:t>
      </w:r>
      <w:r w:rsidRPr="004143F7">
        <w:rPr>
          <w:rFonts w:asciiTheme="minorHAnsi" w:hAnsiTheme="minorHAnsi"/>
          <w:sz w:val="22"/>
          <w:szCs w:val="22"/>
        </w:rPr>
        <w:t>necessário efetuar novamente o seu</w:t>
      </w:r>
      <w:r>
        <w:rPr>
          <w:rFonts w:asciiTheme="minorHAnsi" w:hAnsiTheme="minorHAnsi"/>
          <w:sz w:val="22"/>
          <w:szCs w:val="22"/>
        </w:rPr>
        <w:t xml:space="preserve"> </w:t>
      </w:r>
      <w:r w:rsidRPr="004143F7">
        <w:rPr>
          <w:rFonts w:asciiTheme="minorHAnsi" w:hAnsiTheme="minorHAnsi"/>
          <w:sz w:val="22"/>
          <w:szCs w:val="22"/>
        </w:rPr>
        <w:t>cálculo</w:t>
      </w:r>
      <w:r>
        <w:rPr>
          <w:rFonts w:asciiTheme="minorHAnsi" w:hAnsiTheme="minorHAnsi"/>
          <w:sz w:val="22"/>
          <w:szCs w:val="22"/>
        </w:rPr>
        <w:t>.</w:t>
      </w:r>
    </w:p>
    <w:p w14:paraId="4913E900" w14:textId="77777777" w:rsidR="00F55BB0" w:rsidRPr="000120EA" w:rsidRDefault="00F55BB0" w:rsidP="003336CF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</w:p>
    <w:p w14:paraId="57F06C38" w14:textId="77777777" w:rsidR="002A539E" w:rsidRDefault="002A539E" w:rsidP="002A539E">
      <w:pPr>
        <w:numPr>
          <w:ilvl w:val="0"/>
          <w:numId w:val="13"/>
        </w:numPr>
        <w:spacing w:before="120" w:after="120" w:line="360" w:lineRule="auto"/>
        <w:ind w:left="426" w:hanging="426"/>
        <w:contextualSpacing/>
        <w:outlineLvl w:val="0"/>
        <w:rPr>
          <w:rFonts w:asciiTheme="minorHAnsi" w:eastAsia="Calibri" w:hAnsiTheme="minorHAnsi"/>
          <w:b/>
          <w:color w:val="4BACC6" w:themeColor="accent5"/>
          <w:spacing w:val="0"/>
          <w:kern w:val="28"/>
          <w:sz w:val="22"/>
          <w:szCs w:val="22"/>
        </w:rPr>
      </w:pPr>
      <w:bookmarkStart w:id="94" w:name="_Toc472438903"/>
      <w:r w:rsidRPr="00564862">
        <w:rPr>
          <w:rFonts w:asciiTheme="minorHAnsi" w:eastAsia="Calibri" w:hAnsiTheme="minorHAnsi"/>
          <w:b/>
          <w:color w:val="4BACC6" w:themeColor="accent5"/>
          <w:spacing w:val="0"/>
          <w:sz w:val="22"/>
          <w:szCs w:val="22"/>
        </w:rPr>
        <w:t xml:space="preserve">Orientações para a </w:t>
      </w:r>
      <w:r w:rsidR="003E2D76" w:rsidRPr="00564862">
        <w:rPr>
          <w:rFonts w:asciiTheme="minorHAnsi" w:eastAsia="Calibri" w:hAnsiTheme="minorHAnsi"/>
          <w:b/>
          <w:color w:val="4BACC6" w:themeColor="accent5"/>
          <w:spacing w:val="0"/>
          <w:sz w:val="22"/>
          <w:szCs w:val="22"/>
        </w:rPr>
        <w:t>elaboração</w:t>
      </w:r>
      <w:r w:rsidRPr="00564862">
        <w:rPr>
          <w:rFonts w:asciiTheme="minorHAnsi" w:eastAsia="Calibri" w:hAnsiTheme="minorHAnsi"/>
          <w:b/>
          <w:color w:val="4BACC6" w:themeColor="accent5"/>
          <w:spacing w:val="0"/>
          <w:sz w:val="22"/>
          <w:szCs w:val="22"/>
        </w:rPr>
        <w:t xml:space="preserve"> da Análise Financeira da operação</w:t>
      </w:r>
      <w:bookmarkEnd w:id="94"/>
    </w:p>
    <w:p w14:paraId="3D7493F5" w14:textId="77777777" w:rsidR="002A539E" w:rsidRPr="009D51E4" w:rsidRDefault="002A539E" w:rsidP="009D51E4">
      <w:pPr>
        <w:spacing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bookmarkStart w:id="95" w:name="_Toc464485189"/>
      <w:r w:rsidRPr="009D51E4">
        <w:rPr>
          <w:rFonts w:asciiTheme="minorHAnsi" w:hAnsiTheme="minorHAnsi"/>
          <w:sz w:val="22"/>
          <w:szCs w:val="22"/>
        </w:rPr>
        <w:t>Considerando as orientações expressas nos pontos anteriores, identificam-se os requisitos aplicáveis aos beneficiários no âmbito do cálculo e da fundamentação do défice de financiamento das operações</w:t>
      </w:r>
      <w:r w:rsidR="003336CF" w:rsidRPr="009D51E4">
        <w:rPr>
          <w:rFonts w:asciiTheme="minorHAnsi" w:hAnsiTheme="minorHAnsi"/>
          <w:sz w:val="22"/>
          <w:szCs w:val="22"/>
        </w:rPr>
        <w:t>, em sede da instrução da candidatura, assim como os procedimentos necessários à confirmação da exatidão da receita líquida reportada no contexto do acompanhamento da execução do projeto e respetiva conclusão.</w:t>
      </w:r>
      <w:bookmarkEnd w:id="95"/>
    </w:p>
    <w:p w14:paraId="3C5D0242" w14:textId="77777777" w:rsidR="002A539E" w:rsidRPr="000120EA" w:rsidRDefault="002A539E" w:rsidP="002A539E">
      <w:pPr>
        <w:spacing w:before="120" w:after="120" w:line="360" w:lineRule="auto"/>
        <w:ind w:left="0"/>
        <w:jc w:val="both"/>
        <w:rPr>
          <w:rFonts w:asciiTheme="minorHAnsi" w:hAnsiTheme="minorHAnsi"/>
          <w:sz w:val="22"/>
          <w:szCs w:val="22"/>
        </w:rPr>
      </w:pPr>
      <w:bookmarkStart w:id="96" w:name="_Toc430334689"/>
      <w:bookmarkStart w:id="97" w:name="_Toc430341683"/>
      <w:bookmarkStart w:id="98" w:name="_Toc430334690"/>
      <w:bookmarkStart w:id="99" w:name="_Toc430341684"/>
      <w:bookmarkStart w:id="100" w:name="_Toc430334691"/>
      <w:bookmarkStart w:id="101" w:name="_Toc430341685"/>
      <w:bookmarkEnd w:id="96"/>
      <w:bookmarkEnd w:id="97"/>
      <w:bookmarkEnd w:id="98"/>
      <w:bookmarkEnd w:id="99"/>
      <w:bookmarkEnd w:id="100"/>
      <w:bookmarkEnd w:id="101"/>
      <w:r w:rsidRPr="009D51E4">
        <w:rPr>
          <w:rFonts w:asciiTheme="minorHAnsi" w:hAnsiTheme="minorHAnsi"/>
          <w:sz w:val="22"/>
          <w:szCs w:val="22"/>
        </w:rPr>
        <w:t>Neste contexto, para efeitos do enquadramento do projeto no que respeita à confirmação da respetiva rentabilidade</w:t>
      </w:r>
      <w:r>
        <w:rPr>
          <w:rFonts w:asciiTheme="minorHAnsi" w:hAnsiTheme="minorHAnsi"/>
          <w:sz w:val="22"/>
          <w:szCs w:val="22"/>
        </w:rPr>
        <w:t xml:space="preserve"> financeira e sustentabilidade</w:t>
      </w:r>
      <w:r w:rsidRPr="00B8504A">
        <w:rPr>
          <w:rFonts w:asciiTheme="minorHAnsi" w:hAnsiTheme="minorHAnsi"/>
          <w:sz w:val="22"/>
          <w:szCs w:val="22"/>
          <w:u w:val="single"/>
        </w:rPr>
        <w:t>, em sede de candidatura, deve ser apresentada pelo beneficiário</w:t>
      </w:r>
      <w:r w:rsidRPr="00B8504A">
        <w:rPr>
          <w:rFonts w:asciiTheme="minorHAnsi" w:hAnsiTheme="minorHAnsi"/>
          <w:sz w:val="22"/>
          <w:szCs w:val="22"/>
        </w:rPr>
        <w:t>:</w:t>
      </w:r>
    </w:p>
    <w:p w14:paraId="572C792A" w14:textId="77777777" w:rsidR="002A539E" w:rsidRPr="00B8504A" w:rsidRDefault="002A539E" w:rsidP="00305028">
      <w:pPr>
        <w:numPr>
          <w:ilvl w:val="0"/>
          <w:numId w:val="25"/>
        </w:numPr>
        <w:spacing w:before="120" w:after="120" w:line="360" w:lineRule="auto"/>
        <w:ind w:left="426" w:hanging="284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0120EA">
        <w:rPr>
          <w:rFonts w:asciiTheme="minorHAnsi" w:hAnsiTheme="minorHAnsi"/>
          <w:sz w:val="22"/>
          <w:szCs w:val="22"/>
          <w:u w:val="single"/>
        </w:rPr>
        <w:t>Análise Financeira</w:t>
      </w:r>
      <w:r w:rsidRPr="000120EA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– a</w:t>
      </w:r>
      <w:r w:rsidRPr="00B8504A">
        <w:rPr>
          <w:rFonts w:asciiTheme="minorHAnsi" w:eastAsia="Calibri" w:hAnsiTheme="minorHAnsi"/>
          <w:spacing w:val="0"/>
          <w:sz w:val="22"/>
          <w:szCs w:val="22"/>
        </w:rPr>
        <w:t xml:space="preserve"> análise financeira a apresentar em sede de instrução da ca</w:t>
      </w:r>
      <w:r>
        <w:rPr>
          <w:rFonts w:asciiTheme="minorHAnsi" w:eastAsia="Calibri" w:hAnsiTheme="minorHAnsi"/>
          <w:spacing w:val="0"/>
          <w:sz w:val="22"/>
          <w:szCs w:val="22"/>
        </w:rPr>
        <w:t xml:space="preserve">ndidatura deverá ser elaborada </w:t>
      </w:r>
      <w:r w:rsidRPr="00B8504A">
        <w:rPr>
          <w:rFonts w:asciiTheme="minorHAnsi" w:eastAsia="Calibri" w:hAnsiTheme="minorHAnsi"/>
          <w:spacing w:val="0"/>
          <w:sz w:val="22"/>
          <w:szCs w:val="22"/>
        </w:rPr>
        <w:t xml:space="preserve">de acordo com o preenchimento do modelo constante no </w:t>
      </w:r>
      <w:r w:rsidRPr="002A539E">
        <w:rPr>
          <w:rFonts w:asciiTheme="minorHAnsi" w:eastAsia="Calibri" w:hAnsiTheme="minorHAnsi"/>
          <w:b/>
          <w:spacing w:val="0"/>
          <w:sz w:val="22"/>
          <w:szCs w:val="22"/>
        </w:rPr>
        <w:t>Anexo 1</w:t>
      </w:r>
      <w:r w:rsidRPr="00B8504A">
        <w:rPr>
          <w:rFonts w:asciiTheme="minorHAnsi" w:eastAsia="Calibri" w:hAnsiTheme="minorHAnsi"/>
          <w:spacing w:val="0"/>
          <w:sz w:val="22"/>
          <w:szCs w:val="22"/>
        </w:rPr>
        <w:t>.</w:t>
      </w:r>
    </w:p>
    <w:p w14:paraId="60311C45" w14:textId="77777777" w:rsidR="002A539E" w:rsidRDefault="002A539E" w:rsidP="00305028">
      <w:pPr>
        <w:numPr>
          <w:ilvl w:val="0"/>
          <w:numId w:val="25"/>
        </w:numPr>
        <w:spacing w:before="120" w:after="120" w:line="360" w:lineRule="auto"/>
        <w:ind w:left="426" w:hanging="284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0120EA">
        <w:rPr>
          <w:rFonts w:asciiTheme="minorHAnsi" w:eastAsia="Calibri" w:hAnsiTheme="minorHAnsi"/>
          <w:spacing w:val="0"/>
          <w:sz w:val="22"/>
          <w:szCs w:val="22"/>
          <w:u w:val="single"/>
        </w:rPr>
        <w:t>Memória Descritiva</w:t>
      </w:r>
      <w:r w:rsidRPr="000120EA">
        <w:rPr>
          <w:rFonts w:asciiTheme="minorHAnsi" w:eastAsia="Calibri" w:hAnsiTheme="minorHAnsi"/>
          <w:spacing w:val="0"/>
          <w:sz w:val="22"/>
          <w:szCs w:val="22"/>
        </w:rPr>
        <w:t xml:space="preserve"> – para enquadramento e fundamentação do EVF apresentado deve ser elaborada uma memória descritiva adequada, a qual deve respe</w:t>
      </w:r>
      <w:r>
        <w:rPr>
          <w:rFonts w:asciiTheme="minorHAnsi" w:eastAsia="Calibri" w:hAnsiTheme="minorHAnsi"/>
          <w:spacing w:val="0"/>
          <w:sz w:val="22"/>
          <w:szCs w:val="22"/>
        </w:rPr>
        <w:t>itar as orientações expressas no ponto 2 anterior e no</w:t>
      </w:r>
      <w:r w:rsidRPr="000120EA">
        <w:rPr>
          <w:rFonts w:asciiTheme="minorHAnsi" w:eastAsia="Calibri" w:hAnsiTheme="minorHAnsi"/>
          <w:spacing w:val="0"/>
          <w:sz w:val="22"/>
          <w:szCs w:val="22"/>
        </w:rPr>
        <w:t xml:space="preserve"> </w:t>
      </w:r>
      <w:r w:rsidRPr="002A539E">
        <w:rPr>
          <w:rFonts w:asciiTheme="minorHAnsi" w:eastAsia="Calibri" w:hAnsiTheme="minorHAnsi"/>
          <w:b/>
          <w:spacing w:val="0"/>
          <w:sz w:val="22"/>
          <w:szCs w:val="22"/>
        </w:rPr>
        <w:t>Anexo 4</w:t>
      </w:r>
      <w:r>
        <w:rPr>
          <w:rFonts w:asciiTheme="minorHAnsi" w:eastAsia="Calibri" w:hAnsiTheme="minorHAnsi"/>
          <w:spacing w:val="0"/>
          <w:sz w:val="22"/>
          <w:szCs w:val="22"/>
        </w:rPr>
        <w:t xml:space="preserve"> ao presente documento.</w:t>
      </w:r>
    </w:p>
    <w:p w14:paraId="57165F01" w14:textId="77777777" w:rsidR="002A539E" w:rsidRDefault="002A539E" w:rsidP="002A539E">
      <w:pPr>
        <w:spacing w:before="120" w:after="120" w:line="360" w:lineRule="auto"/>
        <w:ind w:left="426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>
        <w:rPr>
          <w:rFonts w:asciiTheme="minorHAnsi" w:eastAsia="Calibri" w:hAnsiTheme="minorHAnsi"/>
          <w:spacing w:val="0"/>
          <w:sz w:val="22"/>
          <w:szCs w:val="22"/>
        </w:rPr>
        <w:t>A</w:t>
      </w:r>
      <w:r w:rsidRPr="000120EA">
        <w:rPr>
          <w:rFonts w:asciiTheme="minorHAnsi" w:eastAsia="Calibri" w:hAnsiTheme="minorHAnsi"/>
          <w:spacing w:val="0"/>
          <w:sz w:val="22"/>
          <w:szCs w:val="22"/>
        </w:rPr>
        <w:t xml:space="preserve"> mesma </w:t>
      </w:r>
      <w:r>
        <w:rPr>
          <w:rFonts w:asciiTheme="minorHAnsi" w:eastAsia="Calibri" w:hAnsiTheme="minorHAnsi"/>
          <w:spacing w:val="0"/>
          <w:sz w:val="22"/>
          <w:szCs w:val="22"/>
        </w:rPr>
        <w:t xml:space="preserve">deve </w:t>
      </w:r>
      <w:r w:rsidRPr="000120EA">
        <w:rPr>
          <w:rFonts w:asciiTheme="minorHAnsi" w:eastAsia="Calibri" w:hAnsiTheme="minorHAnsi"/>
          <w:spacing w:val="0"/>
          <w:sz w:val="22"/>
          <w:szCs w:val="22"/>
        </w:rPr>
        <w:t>conter informação quanto à distribuição geográfica do investimento, pormenorizada por unidade territorial na qual se encontra implementado, assim como os diagramas de fluxos correspondentes, tão detalhados quanto possível de modo a sustentar os pressupostos considerados e a identificar claramente as premissas do incremento aportado pelo projeto.</w:t>
      </w:r>
    </w:p>
    <w:p w14:paraId="10477E56" w14:textId="77777777" w:rsidR="002A539E" w:rsidRPr="00B670EC" w:rsidRDefault="002A539E" w:rsidP="002A539E">
      <w:pPr>
        <w:spacing w:before="120" w:after="120" w:line="360" w:lineRule="auto"/>
        <w:ind w:left="426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 w:rsidRPr="00B670EC">
        <w:rPr>
          <w:rFonts w:asciiTheme="minorHAnsi" w:eastAsia="Calibri" w:hAnsiTheme="minorHAnsi"/>
          <w:spacing w:val="0"/>
          <w:sz w:val="22"/>
          <w:szCs w:val="22"/>
        </w:rPr>
        <w:t>A descrição</w:t>
      </w:r>
      <w:r>
        <w:rPr>
          <w:rFonts w:asciiTheme="minorHAnsi" w:eastAsia="Calibri" w:hAnsiTheme="minorHAnsi"/>
          <w:spacing w:val="0"/>
          <w:sz w:val="22"/>
          <w:szCs w:val="22"/>
        </w:rPr>
        <w:t xml:space="preserve"> a apresentar</w:t>
      </w:r>
      <w:r w:rsidRPr="00B670EC">
        <w:rPr>
          <w:rFonts w:asciiTheme="minorHAnsi" w:eastAsia="Calibri" w:hAnsiTheme="minorHAnsi"/>
          <w:spacing w:val="0"/>
          <w:sz w:val="22"/>
          <w:szCs w:val="22"/>
        </w:rPr>
        <w:t xml:space="preserve"> deverá ser suficientemente clara </w:t>
      </w:r>
      <w:r>
        <w:rPr>
          <w:rFonts w:asciiTheme="minorHAnsi" w:eastAsia="Calibri" w:hAnsiTheme="minorHAnsi"/>
          <w:spacing w:val="0"/>
          <w:sz w:val="22"/>
          <w:szCs w:val="22"/>
        </w:rPr>
        <w:t>na perspetiva do</w:t>
      </w:r>
      <w:r w:rsidRPr="00B670EC">
        <w:rPr>
          <w:rFonts w:asciiTheme="minorHAnsi" w:eastAsia="Calibri" w:hAnsiTheme="minorHAnsi"/>
          <w:spacing w:val="0"/>
          <w:sz w:val="22"/>
          <w:szCs w:val="22"/>
        </w:rPr>
        <w:t xml:space="preserve"> enquadramento e </w:t>
      </w:r>
      <w:r>
        <w:rPr>
          <w:rFonts w:asciiTheme="minorHAnsi" w:eastAsia="Calibri" w:hAnsiTheme="minorHAnsi"/>
          <w:spacing w:val="0"/>
          <w:sz w:val="22"/>
          <w:szCs w:val="22"/>
        </w:rPr>
        <w:t>d</w:t>
      </w:r>
      <w:r w:rsidRPr="00B670EC">
        <w:rPr>
          <w:rFonts w:asciiTheme="minorHAnsi" w:eastAsia="Calibri" w:hAnsiTheme="minorHAnsi"/>
          <w:spacing w:val="0"/>
          <w:sz w:val="22"/>
          <w:szCs w:val="22"/>
        </w:rPr>
        <w:t xml:space="preserve">os objetivos do investimento, </w:t>
      </w:r>
      <w:r>
        <w:rPr>
          <w:rFonts w:asciiTheme="minorHAnsi" w:eastAsia="Calibri" w:hAnsiTheme="minorHAnsi"/>
          <w:spacing w:val="0"/>
          <w:sz w:val="22"/>
          <w:szCs w:val="22"/>
        </w:rPr>
        <w:t xml:space="preserve">e </w:t>
      </w:r>
      <w:r w:rsidRPr="00B670EC">
        <w:rPr>
          <w:rFonts w:asciiTheme="minorHAnsi" w:eastAsia="Calibri" w:hAnsiTheme="minorHAnsi"/>
          <w:spacing w:val="0"/>
          <w:sz w:val="22"/>
          <w:szCs w:val="22"/>
        </w:rPr>
        <w:t xml:space="preserve">identificar os agentes e respetivos fluxos de transações (compra/venda) </w:t>
      </w:r>
      <w:r w:rsidRPr="00B670EC">
        <w:rPr>
          <w:rFonts w:asciiTheme="minorHAnsi" w:eastAsia="Calibri" w:hAnsiTheme="minorHAnsi"/>
          <w:spacing w:val="0"/>
          <w:sz w:val="22"/>
          <w:szCs w:val="22"/>
        </w:rPr>
        <w:lastRenderedPageBreak/>
        <w:t>estabelecidos no âmbito do incremento cofinanciado</w:t>
      </w:r>
      <w:r>
        <w:rPr>
          <w:rFonts w:asciiTheme="minorHAnsi" w:eastAsia="Calibri" w:hAnsiTheme="minorHAnsi"/>
          <w:spacing w:val="0"/>
          <w:sz w:val="22"/>
          <w:szCs w:val="22"/>
        </w:rPr>
        <w:t>, e o respetivo</w:t>
      </w:r>
      <w:r w:rsidRPr="00B670EC">
        <w:rPr>
          <w:rFonts w:asciiTheme="minorHAnsi" w:eastAsia="Calibri" w:hAnsiTheme="minorHAnsi"/>
          <w:spacing w:val="0"/>
          <w:sz w:val="22"/>
          <w:szCs w:val="22"/>
        </w:rPr>
        <w:t xml:space="preserve"> impacto </w:t>
      </w:r>
      <w:r>
        <w:rPr>
          <w:rFonts w:asciiTheme="minorHAnsi" w:eastAsia="Calibri" w:hAnsiTheme="minorHAnsi"/>
          <w:spacing w:val="0"/>
          <w:sz w:val="22"/>
          <w:szCs w:val="22"/>
        </w:rPr>
        <w:t>na</w:t>
      </w:r>
      <w:r w:rsidRPr="00B670EC">
        <w:rPr>
          <w:rFonts w:asciiTheme="minorHAnsi" w:eastAsia="Calibri" w:hAnsiTheme="minorHAnsi"/>
          <w:spacing w:val="0"/>
          <w:sz w:val="22"/>
          <w:szCs w:val="22"/>
        </w:rPr>
        <w:t xml:space="preserve"> exploração (</w:t>
      </w:r>
      <w:r>
        <w:rPr>
          <w:rFonts w:asciiTheme="minorHAnsi" w:eastAsia="Calibri" w:hAnsiTheme="minorHAnsi"/>
          <w:spacing w:val="0"/>
          <w:sz w:val="22"/>
          <w:szCs w:val="22"/>
        </w:rPr>
        <w:t xml:space="preserve">impacto em termos de </w:t>
      </w:r>
      <w:r w:rsidRPr="00B670EC">
        <w:rPr>
          <w:rFonts w:asciiTheme="minorHAnsi" w:eastAsia="Calibri" w:hAnsiTheme="minorHAnsi"/>
          <w:spacing w:val="0"/>
          <w:sz w:val="22"/>
          <w:szCs w:val="22"/>
        </w:rPr>
        <w:t>custos</w:t>
      </w:r>
      <w:r>
        <w:rPr>
          <w:rFonts w:asciiTheme="minorHAnsi" w:eastAsia="Calibri" w:hAnsiTheme="minorHAnsi"/>
          <w:spacing w:val="0"/>
          <w:sz w:val="22"/>
          <w:szCs w:val="22"/>
        </w:rPr>
        <w:t>/</w:t>
      </w:r>
      <w:r w:rsidRPr="00B670EC">
        <w:rPr>
          <w:rFonts w:asciiTheme="minorHAnsi" w:eastAsia="Calibri" w:hAnsiTheme="minorHAnsi"/>
          <w:spacing w:val="0"/>
          <w:sz w:val="22"/>
          <w:szCs w:val="22"/>
        </w:rPr>
        <w:t>receitas</w:t>
      </w:r>
      <w:bookmarkStart w:id="102" w:name="_Toc336422263"/>
      <w:bookmarkEnd w:id="102"/>
      <w:r>
        <w:rPr>
          <w:rFonts w:asciiTheme="minorHAnsi" w:eastAsia="Calibri" w:hAnsiTheme="minorHAnsi"/>
          <w:spacing w:val="0"/>
          <w:sz w:val="22"/>
          <w:szCs w:val="22"/>
        </w:rPr>
        <w:t xml:space="preserve"> e/ou poupanças).</w:t>
      </w:r>
    </w:p>
    <w:p w14:paraId="21C65BF9" w14:textId="77777777" w:rsidR="002A539E" w:rsidRPr="000120EA" w:rsidRDefault="002A539E" w:rsidP="00305028">
      <w:pPr>
        <w:numPr>
          <w:ilvl w:val="0"/>
          <w:numId w:val="25"/>
        </w:numPr>
        <w:spacing w:before="120" w:after="120" w:line="360" w:lineRule="auto"/>
        <w:ind w:left="426" w:hanging="284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  <w:r>
        <w:rPr>
          <w:rFonts w:asciiTheme="minorHAnsi" w:eastAsia="Calibri" w:hAnsiTheme="minorHAnsi"/>
          <w:spacing w:val="0"/>
          <w:sz w:val="22"/>
          <w:szCs w:val="22"/>
          <w:u w:val="single"/>
        </w:rPr>
        <w:t>Suporte dos Pressupostos</w:t>
      </w:r>
      <w:r>
        <w:rPr>
          <w:rFonts w:asciiTheme="minorHAnsi" w:eastAsia="Calibri" w:hAnsiTheme="minorHAnsi"/>
          <w:spacing w:val="0"/>
          <w:sz w:val="22"/>
          <w:szCs w:val="22"/>
        </w:rPr>
        <w:t xml:space="preserve"> – o suporte dos pressupostos assumidos deve ser remetido em complemento à análise financeira e à memória descritiva, devendo ser identificadas as fontes de informação respetivas.</w:t>
      </w:r>
    </w:p>
    <w:p w14:paraId="51C311CF" w14:textId="77777777" w:rsidR="002A539E" w:rsidRPr="000120EA" w:rsidRDefault="002A539E" w:rsidP="002A539E">
      <w:pPr>
        <w:spacing w:before="120" w:after="120" w:line="360" w:lineRule="auto"/>
        <w:ind w:left="426"/>
        <w:contextualSpacing/>
        <w:jc w:val="both"/>
        <w:rPr>
          <w:rFonts w:asciiTheme="minorHAnsi" w:eastAsia="Calibri" w:hAnsiTheme="minorHAnsi"/>
          <w:spacing w:val="0"/>
          <w:sz w:val="22"/>
          <w:szCs w:val="22"/>
        </w:rPr>
      </w:pPr>
    </w:p>
    <w:tbl>
      <w:tblPr>
        <w:tblStyle w:val="Tabelacomgrelha"/>
        <w:tblW w:w="10178" w:type="dxa"/>
        <w:tblInd w:w="-147" w:type="dxa"/>
        <w:shd w:val="clear" w:color="auto" w:fill="F4E62C"/>
        <w:tblLook w:val="04A0" w:firstRow="1" w:lastRow="0" w:firstColumn="1" w:lastColumn="0" w:noHBand="0" w:noVBand="1"/>
      </w:tblPr>
      <w:tblGrid>
        <w:gridCol w:w="10178"/>
      </w:tblGrid>
      <w:tr w:rsidR="002A539E" w:rsidRPr="000120EA" w14:paraId="37284E49" w14:textId="77777777" w:rsidTr="002A539E">
        <w:tc>
          <w:tcPr>
            <w:tcW w:w="10178" w:type="dxa"/>
            <w:shd w:val="clear" w:color="auto" w:fill="F4E62C"/>
          </w:tcPr>
          <w:p w14:paraId="438F0E70" w14:textId="77777777" w:rsidR="002A539E" w:rsidRDefault="002A539E" w:rsidP="002A539E">
            <w:pPr>
              <w:spacing w:before="120" w:after="120" w:line="360" w:lineRule="auto"/>
              <w:ind w:left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0120EA">
              <w:rPr>
                <w:rFonts w:asciiTheme="minorHAnsi" w:hAnsiTheme="minorHAnsi"/>
                <w:sz w:val="22"/>
                <w:szCs w:val="22"/>
              </w:rPr>
              <w:t xml:space="preserve">Os modelos previstos nos </w:t>
            </w:r>
            <w:r w:rsidRPr="002A539E">
              <w:rPr>
                <w:rFonts w:asciiTheme="minorHAnsi" w:hAnsiTheme="minorHAnsi"/>
                <w:b/>
                <w:sz w:val="22"/>
                <w:szCs w:val="22"/>
              </w:rPr>
              <w:t>Anexos 1 e 4</w:t>
            </w:r>
            <w:r w:rsidRPr="000120EA">
              <w:rPr>
                <w:rFonts w:asciiTheme="minorHAnsi" w:hAnsiTheme="minorHAnsi"/>
                <w:sz w:val="22"/>
                <w:szCs w:val="22"/>
              </w:rPr>
              <w:t xml:space="preserve"> deverão ser atualizados </w:t>
            </w:r>
            <w:r>
              <w:rPr>
                <w:rFonts w:asciiTheme="minorHAnsi" w:hAnsiTheme="minorHAnsi"/>
                <w:sz w:val="22"/>
                <w:szCs w:val="22"/>
              </w:rPr>
              <w:t>sempre que</w:t>
            </w:r>
            <w:r w:rsidRPr="000120EA">
              <w:rPr>
                <w:rFonts w:asciiTheme="minorHAnsi" w:hAnsiTheme="minorHAnsi"/>
                <w:sz w:val="22"/>
                <w:szCs w:val="22"/>
              </w:rPr>
              <w:t xml:space="preserve"> se verifiquem alterações significativas ao longo da execução da operação e previamente ao seu encerramento, momento em que será obrigatória a atualização </w:t>
            </w:r>
            <w:r>
              <w:rPr>
                <w:rFonts w:asciiTheme="minorHAnsi" w:hAnsiTheme="minorHAnsi"/>
                <w:sz w:val="22"/>
                <w:szCs w:val="22"/>
              </w:rPr>
              <w:t>da análise financeira</w:t>
            </w:r>
            <w:r w:rsidRPr="000120EA">
              <w:rPr>
                <w:rFonts w:asciiTheme="minorHAnsi" w:hAnsiTheme="minorHAnsi"/>
                <w:sz w:val="22"/>
                <w:szCs w:val="22"/>
              </w:rPr>
              <w:t xml:space="preserve"> tendo por base a informação histórica à data.</w:t>
            </w:r>
            <w:r w:rsidR="003336CF">
              <w:rPr>
                <w:rFonts w:asciiTheme="minorHAnsi" w:hAnsiTheme="minorHAnsi"/>
                <w:sz w:val="22"/>
                <w:szCs w:val="22"/>
              </w:rPr>
              <w:t xml:space="preserve"> Neste contexto consideram-se como suscetíveis de alterar a taxa de défice de financiamento as circunstâncias identificadas no ponto 4.1 acima.</w:t>
            </w:r>
          </w:p>
          <w:p w14:paraId="6229A92A" w14:textId="77777777" w:rsidR="003336CF" w:rsidRDefault="003336CF" w:rsidP="002A539E">
            <w:pPr>
              <w:spacing w:before="120" w:after="120" w:line="360" w:lineRule="auto"/>
              <w:ind w:left="0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Em fase de conclusão da operação, ou sempre que tal se revele aplicável, deverão os Beneficiários remeter declaração, mediante a qual os mesmos atestam quanto à existência, ou não, </w:t>
            </w:r>
            <w:r w:rsidRPr="006C388E">
              <w:rPr>
                <w:rFonts w:asciiTheme="minorHAnsi" w:hAnsiTheme="minorHAnsi"/>
                <w:sz w:val="22"/>
                <w:szCs w:val="22"/>
              </w:rPr>
              <w:t xml:space="preserve">de novas receitas ou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à </w:t>
            </w:r>
            <w:r w:rsidRPr="006C388E">
              <w:rPr>
                <w:rFonts w:asciiTheme="minorHAnsi" w:hAnsiTheme="minorHAnsi"/>
                <w:sz w:val="22"/>
                <w:szCs w:val="22"/>
              </w:rPr>
              <w:t>alteração de pressupostos passíveis de justificar uma alteração do défice de financiamento aplicável à operação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. Nos casos em que se considere justificada a necessidade de </w:t>
            </w:r>
            <w:r w:rsidRPr="006C388E">
              <w:rPr>
                <w:rFonts w:asciiTheme="minorHAnsi" w:hAnsiTheme="minorHAnsi"/>
                <w:sz w:val="22"/>
                <w:szCs w:val="22"/>
              </w:rPr>
              <w:t>alteraç</w:t>
            </w:r>
            <w:r>
              <w:rPr>
                <w:rFonts w:asciiTheme="minorHAnsi" w:hAnsiTheme="minorHAnsi"/>
                <w:sz w:val="22"/>
                <w:szCs w:val="22"/>
              </w:rPr>
              <w:t>ão</w:t>
            </w:r>
            <w:r w:rsidRPr="006C388E">
              <w:rPr>
                <w:rFonts w:asciiTheme="minorHAnsi" w:hAnsiTheme="minorHAnsi"/>
                <w:sz w:val="22"/>
                <w:szCs w:val="22"/>
              </w:rPr>
              <w:t xml:space="preserve"> dos pressupostos considerados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em fase de aprovação, e consequentemente do </w:t>
            </w:r>
            <w:r w:rsidRPr="006C388E">
              <w:rPr>
                <w:rFonts w:asciiTheme="minorHAnsi" w:hAnsiTheme="minorHAnsi"/>
                <w:sz w:val="22"/>
                <w:szCs w:val="22"/>
              </w:rPr>
              <w:t>rec</w:t>
            </w:r>
            <w:r>
              <w:rPr>
                <w:rFonts w:asciiTheme="minorHAnsi" w:hAnsiTheme="minorHAnsi"/>
                <w:sz w:val="22"/>
                <w:szCs w:val="22"/>
              </w:rPr>
              <w:t>á</w:t>
            </w:r>
            <w:r w:rsidRPr="006C388E">
              <w:rPr>
                <w:rFonts w:asciiTheme="minorHAnsi" w:hAnsiTheme="minorHAnsi"/>
                <w:sz w:val="22"/>
                <w:szCs w:val="22"/>
              </w:rPr>
              <w:t xml:space="preserve">lculo </w:t>
            </w:r>
            <w:r>
              <w:rPr>
                <w:rFonts w:asciiTheme="minorHAnsi" w:hAnsiTheme="minorHAnsi"/>
                <w:sz w:val="22"/>
                <w:szCs w:val="22"/>
              </w:rPr>
              <w:t>do défice de financiamento, deverá ser acautelada a disponibili</w:t>
            </w:r>
            <w:r w:rsidR="00077E87">
              <w:rPr>
                <w:rFonts w:asciiTheme="minorHAnsi" w:hAnsiTheme="minorHAnsi"/>
                <w:sz w:val="22"/>
                <w:szCs w:val="22"/>
              </w:rPr>
              <w:t xml:space="preserve">zação das respetivas evidências e de novo cálculo suportado nos instrumentos específicos criados, designadamente o modelo de apresentação do EVF constante do </w:t>
            </w:r>
            <w:r w:rsidR="00077E87" w:rsidRPr="00077E87">
              <w:rPr>
                <w:rFonts w:asciiTheme="minorHAnsi" w:hAnsiTheme="minorHAnsi"/>
                <w:b/>
                <w:sz w:val="22"/>
                <w:szCs w:val="22"/>
              </w:rPr>
              <w:t>Anexo 1</w:t>
            </w:r>
            <w:r w:rsidR="00077E87">
              <w:rPr>
                <w:rFonts w:asciiTheme="minorHAnsi" w:hAnsiTheme="minorHAnsi"/>
                <w:sz w:val="22"/>
                <w:szCs w:val="22"/>
              </w:rPr>
              <w:t xml:space="preserve"> ao presente documento.</w:t>
            </w:r>
          </w:p>
          <w:p w14:paraId="734B9F39" w14:textId="77777777" w:rsidR="002A539E" w:rsidRPr="007F2404" w:rsidRDefault="002A539E" w:rsidP="002A539E">
            <w:pPr>
              <w:spacing w:before="120" w:after="120" w:line="360" w:lineRule="auto"/>
              <w:ind w:left="0"/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</w:t>
            </w:r>
            <w:r w:rsidRPr="00A45B84">
              <w:rPr>
                <w:rFonts w:asciiTheme="minorHAnsi" w:hAnsiTheme="minorHAnsi"/>
                <w:sz w:val="22"/>
                <w:szCs w:val="22"/>
              </w:rPr>
              <w:t xml:space="preserve">s evidências subjacentes ao apuramento da receita líquida atualizada da operação devem constar do </w:t>
            </w:r>
            <w:proofErr w:type="gramStart"/>
            <w:r w:rsidRPr="00077E87">
              <w:rPr>
                <w:rFonts w:asciiTheme="minorHAnsi" w:hAnsiTheme="minorHAnsi"/>
                <w:i/>
                <w:sz w:val="22"/>
                <w:szCs w:val="22"/>
              </w:rPr>
              <w:t>dossier</w:t>
            </w:r>
            <w:proofErr w:type="gramEnd"/>
            <w:r w:rsidRPr="00A45B84">
              <w:rPr>
                <w:rFonts w:asciiTheme="minorHAnsi" w:hAnsiTheme="minorHAnsi"/>
                <w:sz w:val="22"/>
                <w:szCs w:val="22"/>
              </w:rPr>
              <w:t xml:space="preserve"> da operação e ser devidamente auditáveis. </w:t>
            </w:r>
          </w:p>
        </w:tc>
      </w:tr>
    </w:tbl>
    <w:p w14:paraId="205014AC" w14:textId="77777777" w:rsidR="00DA7643" w:rsidRDefault="00DA7643" w:rsidP="009D51E4">
      <w:pPr>
        <w:spacing w:line="360" w:lineRule="auto"/>
        <w:ind w:left="833" w:hanging="833"/>
        <w:rPr>
          <w:rFonts w:cs="Arial"/>
        </w:rPr>
      </w:pPr>
    </w:p>
    <w:sectPr w:rsidR="00DA7643" w:rsidSect="00DF3BA4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2552" w:right="851" w:bottom="1701" w:left="1134" w:header="284" w:footer="87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B558DC" w14:textId="77777777" w:rsidR="006E7748" w:rsidRDefault="006E7748">
      <w:r>
        <w:separator/>
      </w:r>
    </w:p>
  </w:endnote>
  <w:endnote w:type="continuationSeparator" w:id="0">
    <w:p w14:paraId="588B6264" w14:textId="77777777" w:rsidR="006E7748" w:rsidRDefault="006E7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FEAF0A" w14:textId="77777777" w:rsidR="00F13BFB" w:rsidRPr="00A25913" w:rsidRDefault="00F13BFB" w:rsidP="00F31588">
    <w:pPr>
      <w:pStyle w:val="Rodap"/>
      <w:spacing w:before="0" w:line="240" w:lineRule="auto"/>
      <w:ind w:left="833"/>
      <w:jc w:val="right"/>
      <w:rPr>
        <w:rFonts w:asciiTheme="minorHAnsi" w:hAnsiTheme="minorHAnsi"/>
        <w:sz w:val="28"/>
        <w:szCs w:val="28"/>
      </w:rPr>
    </w:pPr>
    <w:r>
      <w:rPr>
        <w:noProof/>
        <w:lang w:eastAsia="pt-PT"/>
      </w:rPr>
      <w:drawing>
        <wp:anchor distT="0" distB="0" distL="114300" distR="114300" simplePos="0" relativeHeight="251664384" behindDoc="1" locked="0" layoutInCell="1" allowOverlap="1" wp14:anchorId="1F11A321" wp14:editId="6EA692CD">
          <wp:simplePos x="0" y="0"/>
          <wp:positionH relativeFrom="page">
            <wp:posOffset>1447800</wp:posOffset>
          </wp:positionH>
          <wp:positionV relativeFrom="paragraph">
            <wp:posOffset>-84125</wp:posOffset>
          </wp:positionV>
          <wp:extent cx="4887153" cy="634778"/>
          <wp:effectExtent l="0" t="0" r="0" b="0"/>
          <wp:wrapNone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81" t="19507"/>
                  <a:stretch/>
                </pic:blipFill>
                <pic:spPr bwMode="auto">
                  <a:xfrm>
                    <a:off x="0" y="0"/>
                    <a:ext cx="4887153" cy="6347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83383" w14:textId="593E1A1C" w:rsidR="00F13BFB" w:rsidRPr="00C5523A" w:rsidRDefault="00F13BFB" w:rsidP="00F31588">
    <w:pPr>
      <w:pStyle w:val="Rodap"/>
      <w:spacing w:before="0" w:line="240" w:lineRule="auto"/>
      <w:ind w:left="833"/>
      <w:jc w:val="right"/>
      <w:rPr>
        <w:rFonts w:asciiTheme="minorHAnsi" w:hAnsiTheme="minorHAnsi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D42957" w14:textId="77777777" w:rsidR="00F13BFB" w:rsidRPr="00644640" w:rsidRDefault="00F13BFB" w:rsidP="00644640">
    <w:pPr>
      <w:pStyle w:val="Rodap"/>
    </w:pPr>
    <w:r>
      <w:rPr>
        <w:noProof/>
        <w:lang w:eastAsia="pt-PT"/>
      </w:rPr>
      <w:drawing>
        <wp:anchor distT="0" distB="0" distL="114300" distR="114300" simplePos="0" relativeHeight="251656192" behindDoc="1" locked="0" layoutInCell="1" allowOverlap="1" wp14:anchorId="331C493B" wp14:editId="5F322CD4">
          <wp:simplePos x="0" y="0"/>
          <wp:positionH relativeFrom="column">
            <wp:posOffset>-720791</wp:posOffset>
          </wp:positionH>
          <wp:positionV relativeFrom="paragraph">
            <wp:posOffset>61595</wp:posOffset>
          </wp:positionV>
          <wp:extent cx="7560860" cy="1005778"/>
          <wp:effectExtent l="0" t="0" r="2540" b="444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860" cy="1005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11909B" w14:textId="77777777" w:rsidR="006E7748" w:rsidRDefault="006E7748">
      <w:r>
        <w:separator/>
      </w:r>
    </w:p>
  </w:footnote>
  <w:footnote w:type="continuationSeparator" w:id="0">
    <w:p w14:paraId="5164B344" w14:textId="77777777" w:rsidR="006E7748" w:rsidRDefault="006E7748">
      <w:r>
        <w:continuationSeparator/>
      </w:r>
    </w:p>
  </w:footnote>
  <w:footnote w:id="1">
    <w:p w14:paraId="22EEBD66" w14:textId="77777777" w:rsidR="00F13BFB" w:rsidRPr="00BB0BDB" w:rsidRDefault="00F13BFB" w:rsidP="008D7328">
      <w:pPr>
        <w:ind w:left="318" w:hanging="318"/>
        <w:jc w:val="both"/>
        <w:rPr>
          <w:rFonts w:asciiTheme="minorHAnsi" w:hAnsiTheme="minorHAnsi"/>
          <w:sz w:val="16"/>
          <w:szCs w:val="16"/>
        </w:rPr>
      </w:pPr>
      <w:r w:rsidRPr="007A6030">
        <w:rPr>
          <w:rFonts w:asciiTheme="minorHAnsi" w:hAnsiTheme="minorHAnsi"/>
          <w:sz w:val="16"/>
          <w:szCs w:val="16"/>
        </w:rPr>
        <w:footnoteRef/>
      </w:r>
      <w:r w:rsidRPr="007A6030">
        <w:rPr>
          <w:rFonts w:asciiTheme="minorHAnsi" w:hAnsiTheme="minorHAnsi"/>
          <w:sz w:val="16"/>
          <w:szCs w:val="16"/>
        </w:rPr>
        <w:t xml:space="preserve"> </w:t>
      </w:r>
      <w:proofErr w:type="gramStart"/>
      <w:r w:rsidRPr="007A6030">
        <w:rPr>
          <w:rFonts w:asciiTheme="minorHAnsi" w:hAnsiTheme="minorHAnsi"/>
          <w:sz w:val="16"/>
          <w:szCs w:val="16"/>
        </w:rPr>
        <w:t>ver</w:t>
      </w:r>
      <w:proofErr w:type="gramEnd"/>
      <w:r w:rsidRPr="007A6030">
        <w:rPr>
          <w:rFonts w:asciiTheme="minorHAnsi" w:hAnsiTheme="minorHAnsi"/>
          <w:sz w:val="16"/>
          <w:szCs w:val="16"/>
        </w:rPr>
        <w:t xml:space="preserve"> Anexo 2 – descreve os Resultados da Análise Financeira, requisitos a respeitar </w:t>
      </w:r>
      <w:r>
        <w:rPr>
          <w:rFonts w:asciiTheme="minorHAnsi" w:hAnsiTheme="minorHAnsi"/>
          <w:sz w:val="16"/>
          <w:szCs w:val="16"/>
        </w:rPr>
        <w:t xml:space="preserve">no âmbito da </w:t>
      </w:r>
      <w:r w:rsidRPr="007A6030">
        <w:rPr>
          <w:rFonts w:asciiTheme="minorHAnsi" w:hAnsiTheme="minorHAnsi"/>
          <w:sz w:val="16"/>
          <w:szCs w:val="16"/>
        </w:rPr>
        <w:t>solicitação de financiamento comunitário.</w:t>
      </w:r>
      <w:r w:rsidRPr="00BB0BDB">
        <w:rPr>
          <w:rFonts w:asciiTheme="minorHAnsi" w:hAnsiTheme="minorHAnsi"/>
          <w:sz w:val="16"/>
          <w:szCs w:val="16"/>
        </w:rPr>
        <w:t xml:space="preserve"> </w:t>
      </w:r>
    </w:p>
  </w:footnote>
  <w:footnote w:id="2">
    <w:p w14:paraId="3BE4B99D" w14:textId="77777777" w:rsidR="00F13BFB" w:rsidRPr="003E169C" w:rsidRDefault="00F13BFB" w:rsidP="00F34B24">
      <w:pPr>
        <w:pStyle w:val="Textodenotaderodap"/>
        <w:ind w:left="0"/>
        <w:jc w:val="both"/>
        <w:rPr>
          <w:rFonts w:asciiTheme="minorHAnsi" w:hAnsiTheme="minorHAnsi"/>
          <w:sz w:val="16"/>
          <w:szCs w:val="16"/>
        </w:rPr>
      </w:pPr>
      <w:r w:rsidRPr="003E169C">
        <w:rPr>
          <w:rStyle w:val="Refdenotaderodap"/>
          <w:rFonts w:asciiTheme="minorHAnsi" w:hAnsiTheme="minorHAnsi"/>
          <w:sz w:val="16"/>
          <w:szCs w:val="16"/>
        </w:rPr>
        <w:footnoteRef/>
      </w:r>
      <w:r w:rsidRPr="003E169C">
        <w:rPr>
          <w:rFonts w:asciiTheme="minorHAnsi" w:hAnsiTheme="minorHAnsi"/>
          <w:sz w:val="16"/>
          <w:szCs w:val="16"/>
        </w:rPr>
        <w:t xml:space="preserve"> Esta questão é particularmente relevante quando existe apenas um operador que assume a responsabilidade do fornecimento do serviço, comummente através de um contrato de concessão.</w:t>
      </w:r>
    </w:p>
  </w:footnote>
  <w:footnote w:id="3">
    <w:p w14:paraId="44BEC75A" w14:textId="77777777" w:rsidR="00F13BFB" w:rsidRPr="0081032A" w:rsidRDefault="00F13BFB" w:rsidP="00F34B24">
      <w:pPr>
        <w:pStyle w:val="Textodenotaderodap"/>
        <w:ind w:left="0"/>
        <w:jc w:val="both"/>
        <w:rPr>
          <w:rFonts w:asciiTheme="minorHAnsi" w:hAnsiTheme="minorHAnsi"/>
          <w:sz w:val="16"/>
          <w:szCs w:val="16"/>
          <w:lang w:val="en-US"/>
        </w:rPr>
      </w:pPr>
      <w:r w:rsidRPr="0081032A">
        <w:rPr>
          <w:rStyle w:val="Refdenotaderodap"/>
          <w:rFonts w:asciiTheme="minorHAnsi" w:hAnsiTheme="minorHAnsi"/>
          <w:sz w:val="16"/>
          <w:szCs w:val="16"/>
        </w:rPr>
        <w:footnoteRef/>
      </w:r>
      <w:r w:rsidRPr="0081032A">
        <w:rPr>
          <w:rFonts w:asciiTheme="minorHAnsi" w:hAnsiTheme="minorHAnsi"/>
          <w:sz w:val="16"/>
          <w:szCs w:val="16"/>
          <w:lang w:val="en-US"/>
        </w:rPr>
        <w:t xml:space="preserve"> Cf. </w:t>
      </w:r>
      <w:proofErr w:type="spellStart"/>
      <w:r w:rsidRPr="0081032A">
        <w:rPr>
          <w:rFonts w:asciiTheme="minorHAnsi" w:hAnsiTheme="minorHAnsi"/>
          <w:sz w:val="16"/>
          <w:szCs w:val="16"/>
          <w:lang w:val="en-US"/>
        </w:rPr>
        <w:t>ponto</w:t>
      </w:r>
      <w:proofErr w:type="spellEnd"/>
      <w:r w:rsidRPr="0081032A">
        <w:rPr>
          <w:rFonts w:asciiTheme="minorHAnsi" w:hAnsiTheme="minorHAnsi"/>
          <w:sz w:val="16"/>
          <w:szCs w:val="16"/>
          <w:lang w:val="en-US"/>
        </w:rPr>
        <w:t xml:space="preserve"> 2.7.3 do </w:t>
      </w:r>
      <w:proofErr w:type="spellStart"/>
      <w:r w:rsidRPr="0081032A">
        <w:rPr>
          <w:rFonts w:asciiTheme="minorHAnsi" w:hAnsiTheme="minorHAnsi"/>
          <w:sz w:val="16"/>
          <w:szCs w:val="16"/>
          <w:lang w:val="en-US"/>
        </w:rPr>
        <w:t>Guia</w:t>
      </w:r>
      <w:proofErr w:type="spellEnd"/>
      <w:r w:rsidRPr="0081032A">
        <w:rPr>
          <w:rFonts w:asciiTheme="minorHAnsi" w:hAnsiTheme="minorHAnsi"/>
          <w:sz w:val="16"/>
          <w:szCs w:val="16"/>
          <w:lang w:val="en-US"/>
        </w:rPr>
        <w:t xml:space="preserve"> da </w:t>
      </w:r>
      <w:proofErr w:type="spellStart"/>
      <w:r w:rsidRPr="0081032A">
        <w:rPr>
          <w:rFonts w:asciiTheme="minorHAnsi" w:hAnsiTheme="minorHAnsi"/>
          <w:sz w:val="16"/>
          <w:szCs w:val="16"/>
          <w:lang w:val="en-US"/>
        </w:rPr>
        <w:t>Comissão</w:t>
      </w:r>
      <w:proofErr w:type="spellEnd"/>
      <w:r w:rsidRPr="0081032A">
        <w:rPr>
          <w:rFonts w:asciiTheme="minorHAnsi" w:hAnsiTheme="minorHAnsi"/>
          <w:sz w:val="16"/>
          <w:szCs w:val="16"/>
          <w:lang w:val="en-US"/>
        </w:rPr>
        <w:t xml:space="preserve"> “Guide to Cost-benefit Analysis of Investment Projects – December 2014”</w:t>
      </w:r>
    </w:p>
  </w:footnote>
  <w:footnote w:id="4">
    <w:p w14:paraId="65F2AD99" w14:textId="77777777" w:rsidR="00F13BFB" w:rsidRPr="00472DF5" w:rsidRDefault="00F13BFB" w:rsidP="00F34B24">
      <w:pPr>
        <w:pStyle w:val="Textodenotaderodap"/>
        <w:ind w:left="0"/>
        <w:jc w:val="both"/>
        <w:rPr>
          <w:rFonts w:asciiTheme="minorHAnsi" w:hAnsiTheme="minorHAnsi"/>
          <w:sz w:val="16"/>
          <w:szCs w:val="16"/>
        </w:rPr>
      </w:pPr>
      <w:r w:rsidRPr="00A9294E">
        <w:rPr>
          <w:rStyle w:val="Refdenotaderodap"/>
          <w:sz w:val="16"/>
          <w:szCs w:val="16"/>
        </w:rPr>
        <w:footnoteRef/>
      </w:r>
      <w:r>
        <w:t xml:space="preserve"> </w:t>
      </w:r>
      <w:r w:rsidRPr="00472DF5">
        <w:rPr>
          <w:rFonts w:asciiTheme="minorHAnsi" w:hAnsiTheme="minorHAnsi"/>
          <w:sz w:val="16"/>
          <w:szCs w:val="16"/>
        </w:rPr>
        <w:t xml:space="preserve">Para efeitos </w:t>
      </w:r>
      <w:r>
        <w:rPr>
          <w:rFonts w:asciiTheme="minorHAnsi" w:hAnsiTheme="minorHAnsi"/>
          <w:sz w:val="16"/>
          <w:szCs w:val="16"/>
        </w:rPr>
        <w:t xml:space="preserve">do </w:t>
      </w:r>
      <w:r w:rsidRPr="00472DF5">
        <w:rPr>
          <w:rFonts w:asciiTheme="minorHAnsi" w:hAnsiTheme="minorHAnsi"/>
          <w:sz w:val="16"/>
          <w:szCs w:val="16"/>
        </w:rPr>
        <w:t>artigo 61º, não é consi</w:t>
      </w:r>
      <w:r>
        <w:rPr>
          <w:rFonts w:asciiTheme="minorHAnsi" w:hAnsiTheme="minorHAnsi"/>
          <w:sz w:val="16"/>
          <w:szCs w:val="16"/>
        </w:rPr>
        <w:t>derado receita e não é deduzido, ao investimento total</w:t>
      </w:r>
      <w:r w:rsidRPr="00472DF5">
        <w:rPr>
          <w:rFonts w:asciiTheme="minorHAnsi" w:hAnsiTheme="minorHAnsi"/>
          <w:sz w:val="16"/>
          <w:szCs w:val="16"/>
        </w:rPr>
        <w:t xml:space="preserve"> elegível da operação</w:t>
      </w:r>
      <w:r>
        <w:rPr>
          <w:rFonts w:asciiTheme="minorHAnsi" w:hAnsiTheme="minorHAnsi"/>
          <w:sz w:val="16"/>
          <w:szCs w:val="16"/>
        </w:rPr>
        <w:t>,</w:t>
      </w:r>
      <w:r w:rsidRPr="00472DF5">
        <w:rPr>
          <w:rFonts w:asciiTheme="minorHAnsi" w:hAnsiTheme="minorHAnsi"/>
          <w:sz w:val="16"/>
          <w:szCs w:val="16"/>
        </w:rPr>
        <w:t xml:space="preserve"> o pagamento recebido pelo beneficiário em aplicação de uma penalização contratual relativa ao incumprimento do contrato entre o beneficiário e terceiros, ou que tenha resultado do facto de um terceiro escolhido de acordo com as regras sobre contratos públicos ter retirado a sua oferta (depósito).</w:t>
      </w:r>
    </w:p>
    <w:p w14:paraId="29FAA19F" w14:textId="77777777" w:rsidR="00F13BFB" w:rsidRDefault="00F13BFB" w:rsidP="00F34B24">
      <w:pPr>
        <w:pStyle w:val="Textodenotaderodap"/>
      </w:pPr>
    </w:p>
  </w:footnote>
  <w:footnote w:id="5">
    <w:p w14:paraId="0F171ED7" w14:textId="77777777" w:rsidR="00F13BFB" w:rsidRPr="002A539E" w:rsidRDefault="00F13BFB" w:rsidP="002A539E">
      <w:pPr>
        <w:pStyle w:val="Textodenotaderodap"/>
        <w:ind w:left="0"/>
        <w:jc w:val="both"/>
        <w:rPr>
          <w:rFonts w:asciiTheme="minorHAnsi" w:hAnsiTheme="minorHAnsi"/>
          <w:sz w:val="16"/>
          <w:szCs w:val="16"/>
        </w:rPr>
      </w:pPr>
      <w:r>
        <w:rPr>
          <w:rStyle w:val="Refdenotaderodap"/>
        </w:rPr>
        <w:footnoteRef/>
      </w:r>
      <w:r>
        <w:t xml:space="preserve"> </w:t>
      </w:r>
      <w:r w:rsidRPr="002A539E">
        <w:rPr>
          <w:rFonts w:asciiTheme="minorHAnsi" w:hAnsiTheme="minorHAnsi"/>
          <w:sz w:val="16"/>
          <w:szCs w:val="16"/>
        </w:rPr>
        <w:t xml:space="preserve">Considerando </w:t>
      </w:r>
      <w:r>
        <w:rPr>
          <w:rFonts w:asciiTheme="minorHAnsi" w:hAnsiTheme="minorHAnsi"/>
          <w:sz w:val="16"/>
          <w:szCs w:val="16"/>
        </w:rPr>
        <w:t>o constante do ponto 2.7.3 do</w:t>
      </w:r>
      <w:r w:rsidRPr="002A539E">
        <w:rPr>
          <w:rFonts w:asciiTheme="minorHAnsi" w:hAnsiTheme="minorHAnsi"/>
          <w:sz w:val="16"/>
          <w:szCs w:val="16"/>
        </w:rPr>
        <w:t xml:space="preserve"> “Guide to </w:t>
      </w:r>
      <w:proofErr w:type="spellStart"/>
      <w:r w:rsidRPr="002A539E">
        <w:rPr>
          <w:rFonts w:asciiTheme="minorHAnsi" w:hAnsiTheme="minorHAnsi"/>
          <w:sz w:val="16"/>
          <w:szCs w:val="16"/>
        </w:rPr>
        <w:t>Cost-Benefit</w:t>
      </w:r>
      <w:proofErr w:type="spellEnd"/>
      <w:r w:rsidRPr="002A539E">
        <w:rPr>
          <w:rFonts w:asciiTheme="minorHAnsi" w:hAnsiTheme="minorHAnsi"/>
          <w:sz w:val="16"/>
          <w:szCs w:val="16"/>
        </w:rPr>
        <w:t xml:space="preserve"> </w:t>
      </w:r>
      <w:proofErr w:type="spellStart"/>
      <w:r w:rsidRPr="002A539E">
        <w:rPr>
          <w:rFonts w:asciiTheme="minorHAnsi" w:hAnsiTheme="minorHAnsi"/>
          <w:sz w:val="16"/>
          <w:szCs w:val="16"/>
        </w:rPr>
        <w:t>Analysis</w:t>
      </w:r>
      <w:proofErr w:type="spellEnd"/>
      <w:r w:rsidRPr="002A539E">
        <w:rPr>
          <w:rFonts w:asciiTheme="minorHAnsi" w:hAnsiTheme="minorHAnsi"/>
          <w:sz w:val="16"/>
          <w:szCs w:val="16"/>
        </w:rPr>
        <w:t xml:space="preserve"> </w:t>
      </w:r>
      <w:proofErr w:type="spellStart"/>
      <w:r w:rsidRPr="002A539E">
        <w:rPr>
          <w:rFonts w:asciiTheme="minorHAnsi" w:hAnsiTheme="minorHAnsi"/>
          <w:sz w:val="16"/>
          <w:szCs w:val="16"/>
        </w:rPr>
        <w:t>of</w:t>
      </w:r>
      <w:proofErr w:type="spellEnd"/>
      <w:r w:rsidRPr="002A539E">
        <w:rPr>
          <w:rFonts w:asciiTheme="minorHAnsi" w:hAnsiTheme="minorHAnsi"/>
          <w:sz w:val="16"/>
          <w:szCs w:val="16"/>
        </w:rPr>
        <w:t xml:space="preserve"> </w:t>
      </w:r>
      <w:proofErr w:type="spellStart"/>
      <w:r w:rsidRPr="002A539E">
        <w:rPr>
          <w:rFonts w:asciiTheme="minorHAnsi" w:hAnsiTheme="minorHAnsi"/>
          <w:sz w:val="16"/>
          <w:szCs w:val="16"/>
        </w:rPr>
        <w:t>Investment</w:t>
      </w:r>
      <w:proofErr w:type="spellEnd"/>
      <w:r w:rsidRPr="002A539E">
        <w:rPr>
          <w:rFonts w:asciiTheme="minorHAnsi" w:hAnsiTheme="minorHAnsi"/>
          <w:sz w:val="16"/>
          <w:szCs w:val="16"/>
        </w:rPr>
        <w:t xml:space="preserve"> </w:t>
      </w:r>
      <w:proofErr w:type="spellStart"/>
      <w:r w:rsidRPr="002A539E">
        <w:rPr>
          <w:rFonts w:asciiTheme="minorHAnsi" w:hAnsiTheme="minorHAnsi"/>
          <w:sz w:val="16"/>
          <w:szCs w:val="16"/>
        </w:rPr>
        <w:t>Projects</w:t>
      </w:r>
      <w:proofErr w:type="spellEnd"/>
      <w:r w:rsidRPr="002A539E">
        <w:rPr>
          <w:rFonts w:asciiTheme="minorHAnsi" w:hAnsiTheme="minorHAnsi"/>
          <w:sz w:val="16"/>
          <w:szCs w:val="16"/>
        </w:rPr>
        <w:t xml:space="preserve"> – </w:t>
      </w:r>
      <w:proofErr w:type="spellStart"/>
      <w:r w:rsidRPr="002A539E">
        <w:rPr>
          <w:rFonts w:asciiTheme="minorHAnsi" w:hAnsiTheme="minorHAnsi"/>
          <w:sz w:val="16"/>
          <w:szCs w:val="16"/>
        </w:rPr>
        <w:t>December</w:t>
      </w:r>
      <w:proofErr w:type="spellEnd"/>
      <w:r w:rsidRPr="002A539E">
        <w:rPr>
          <w:rFonts w:asciiTheme="minorHAnsi" w:hAnsiTheme="minorHAnsi"/>
          <w:sz w:val="16"/>
          <w:szCs w:val="16"/>
        </w:rPr>
        <w:t xml:space="preserve"> 2014”, da Comissão este é o método assumido como </w:t>
      </w:r>
      <w:proofErr w:type="spellStart"/>
      <w:r w:rsidRPr="002A539E">
        <w:rPr>
          <w:rFonts w:asciiTheme="minorHAnsi" w:hAnsiTheme="minorHAnsi"/>
          <w:sz w:val="16"/>
          <w:szCs w:val="16"/>
        </w:rPr>
        <w:t>preferêncial</w:t>
      </w:r>
      <w:proofErr w:type="spellEnd"/>
      <w:r w:rsidRPr="002A539E">
        <w:rPr>
          <w:rFonts w:asciiTheme="minorHAnsi" w:hAnsiTheme="minorHAnsi"/>
          <w:sz w:val="16"/>
          <w:szCs w:val="16"/>
        </w:rPr>
        <w:t xml:space="preserve"> para o </w:t>
      </w:r>
      <w:proofErr w:type="spellStart"/>
      <w:r w:rsidRPr="002A539E">
        <w:rPr>
          <w:rFonts w:asciiTheme="minorHAnsi" w:hAnsiTheme="minorHAnsi"/>
          <w:sz w:val="16"/>
          <w:szCs w:val="16"/>
        </w:rPr>
        <w:t>apuramemto</w:t>
      </w:r>
      <w:proofErr w:type="spellEnd"/>
      <w:r w:rsidRPr="002A539E">
        <w:rPr>
          <w:rFonts w:asciiTheme="minorHAnsi" w:hAnsiTheme="minorHAnsi"/>
          <w:sz w:val="16"/>
          <w:szCs w:val="16"/>
        </w:rPr>
        <w:t xml:space="preserve"> do valor residual, salvo circunstâncias devidamente justificadas, designadamente em presença de operações não geradoras de receitas ou de períodos de investimento muito extensos nos quais o utilização do referido método induziria a distorção da análise.</w:t>
      </w:r>
    </w:p>
  </w:footnote>
  <w:footnote w:id="6">
    <w:p w14:paraId="0506DBED" w14:textId="77777777" w:rsidR="00F13BFB" w:rsidRDefault="00F13BFB" w:rsidP="007B57FD">
      <w:pPr>
        <w:pStyle w:val="Textodenotaderodap"/>
        <w:ind w:left="0"/>
      </w:pPr>
      <w:r w:rsidRPr="003E2D76">
        <w:rPr>
          <w:rStyle w:val="Refdenotaderodap"/>
        </w:rPr>
        <w:footnoteRef/>
      </w:r>
      <w:r w:rsidRPr="003E2D76">
        <w:rPr>
          <w:rFonts w:cs="Arial"/>
        </w:rPr>
        <w:t xml:space="preserve"> </w:t>
      </w:r>
      <w:r w:rsidRPr="008F3135">
        <w:rPr>
          <w:rFonts w:asciiTheme="minorHAnsi" w:hAnsiTheme="minorHAnsi"/>
          <w:sz w:val="16"/>
          <w:szCs w:val="16"/>
        </w:rPr>
        <w:t xml:space="preserve">Ver ponto </w:t>
      </w:r>
      <w:r>
        <w:rPr>
          <w:rFonts w:asciiTheme="minorHAnsi" w:hAnsiTheme="minorHAnsi"/>
          <w:sz w:val="16"/>
          <w:szCs w:val="16"/>
        </w:rPr>
        <w:t>2.3</w:t>
      </w:r>
      <w:r w:rsidRPr="008F3135">
        <w:rPr>
          <w:rFonts w:asciiTheme="minorHAnsi" w:hAnsiTheme="minorHAnsi"/>
          <w:sz w:val="16"/>
          <w:szCs w:val="16"/>
        </w:rPr>
        <w:t xml:space="preserve"> relativamente ao apuramento do valor residual para as operações não geradoras de receita líquida no que respeita á determinação dos indicadores de rentabilidade financeira.</w:t>
      </w:r>
    </w:p>
  </w:footnote>
  <w:footnote w:id="7">
    <w:p w14:paraId="732FC0F3" w14:textId="77777777" w:rsidR="00F13BFB" w:rsidRPr="00A917C2" w:rsidRDefault="00F13BFB" w:rsidP="008D7328">
      <w:pPr>
        <w:pStyle w:val="Textodenotaderodap"/>
        <w:ind w:left="0"/>
        <w:jc w:val="both"/>
        <w:rPr>
          <w:rFonts w:asciiTheme="minorHAnsi" w:hAnsiTheme="minorHAnsi"/>
          <w:i/>
          <w:sz w:val="16"/>
          <w:szCs w:val="16"/>
        </w:rPr>
      </w:pPr>
      <w:r w:rsidRPr="00A917C2">
        <w:rPr>
          <w:rStyle w:val="Refdenotaderodap"/>
          <w:rFonts w:asciiTheme="minorHAnsi" w:hAnsiTheme="minorHAnsi"/>
        </w:rPr>
        <w:footnoteRef/>
      </w:r>
      <w:r w:rsidRPr="00A917C2">
        <w:rPr>
          <w:rFonts w:asciiTheme="minorHAnsi" w:hAnsiTheme="minorHAnsi"/>
        </w:rPr>
        <w:t xml:space="preserve"> </w:t>
      </w:r>
      <w:r w:rsidRPr="00A917C2">
        <w:rPr>
          <w:rFonts w:asciiTheme="minorHAnsi" w:hAnsiTheme="minorHAnsi"/>
          <w:sz w:val="16"/>
          <w:szCs w:val="16"/>
        </w:rPr>
        <w:t xml:space="preserve">De acordo </w:t>
      </w:r>
      <w:r>
        <w:rPr>
          <w:rFonts w:asciiTheme="minorHAnsi" w:hAnsiTheme="minorHAnsi"/>
          <w:sz w:val="16"/>
          <w:szCs w:val="16"/>
        </w:rPr>
        <w:t xml:space="preserve">com a conjugação do definido no artigo 19º do </w:t>
      </w:r>
      <w:proofErr w:type="gramStart"/>
      <w:r>
        <w:rPr>
          <w:rFonts w:asciiTheme="minorHAnsi" w:hAnsiTheme="minorHAnsi"/>
          <w:sz w:val="16"/>
          <w:szCs w:val="16"/>
        </w:rPr>
        <w:t>Decreto Lei</w:t>
      </w:r>
      <w:proofErr w:type="gramEnd"/>
      <w:r>
        <w:rPr>
          <w:rFonts w:asciiTheme="minorHAnsi" w:hAnsiTheme="minorHAnsi"/>
          <w:sz w:val="16"/>
          <w:szCs w:val="16"/>
        </w:rPr>
        <w:t xml:space="preserve"> nº 159/2014, de 27 de outubro, e </w:t>
      </w:r>
      <w:r w:rsidRPr="00A917C2">
        <w:rPr>
          <w:rFonts w:asciiTheme="minorHAnsi" w:hAnsiTheme="minorHAnsi"/>
          <w:sz w:val="16"/>
          <w:szCs w:val="16"/>
        </w:rPr>
        <w:t>o disposto pelo nº 7 do artigo 61º do Regulamento</w:t>
      </w:r>
      <w:r>
        <w:rPr>
          <w:rFonts w:asciiTheme="minorHAnsi" w:hAnsiTheme="minorHAnsi"/>
          <w:sz w:val="16"/>
          <w:szCs w:val="16"/>
        </w:rPr>
        <w:t xml:space="preserve"> (UE) nº</w:t>
      </w:r>
      <w:r w:rsidRPr="00A917C2">
        <w:rPr>
          <w:rFonts w:asciiTheme="minorHAnsi" w:hAnsiTheme="minorHAnsi"/>
          <w:sz w:val="16"/>
          <w:szCs w:val="16"/>
        </w:rPr>
        <w:t xml:space="preserve"> 1303/2013 </w:t>
      </w:r>
      <w:r w:rsidRPr="00A917C2">
        <w:rPr>
          <w:rFonts w:asciiTheme="minorHAnsi" w:hAnsiTheme="minorHAnsi"/>
          <w:i/>
          <w:sz w:val="16"/>
          <w:szCs w:val="16"/>
        </w:rPr>
        <w:t xml:space="preserve">“Os n. </w:t>
      </w:r>
      <w:proofErr w:type="gramStart"/>
      <w:r w:rsidRPr="00A917C2">
        <w:rPr>
          <w:rFonts w:asciiTheme="minorHAnsi" w:hAnsiTheme="minorHAnsi"/>
          <w:i/>
          <w:sz w:val="16"/>
          <w:szCs w:val="16"/>
        </w:rPr>
        <w:t>os</w:t>
      </w:r>
      <w:proofErr w:type="gramEnd"/>
      <w:r w:rsidRPr="00A917C2">
        <w:rPr>
          <w:rFonts w:asciiTheme="minorHAnsi" w:hAnsiTheme="minorHAnsi"/>
          <w:i/>
          <w:sz w:val="16"/>
          <w:szCs w:val="16"/>
        </w:rPr>
        <w:t xml:space="preserve"> 1 a 6 não são aplicáveis: </w:t>
      </w:r>
    </w:p>
    <w:p w14:paraId="0A0A30C7" w14:textId="77777777" w:rsidR="00F13BFB" w:rsidRPr="00A917C2" w:rsidRDefault="00F13BFB" w:rsidP="008D7328">
      <w:pPr>
        <w:pStyle w:val="Textodenotaderodap"/>
        <w:ind w:left="284"/>
        <w:jc w:val="both"/>
        <w:rPr>
          <w:rFonts w:asciiTheme="minorHAnsi" w:hAnsiTheme="minorHAnsi"/>
          <w:i/>
          <w:sz w:val="16"/>
          <w:szCs w:val="16"/>
        </w:rPr>
      </w:pPr>
      <w:r w:rsidRPr="00A917C2">
        <w:rPr>
          <w:rFonts w:asciiTheme="minorHAnsi" w:hAnsiTheme="minorHAnsi"/>
          <w:i/>
          <w:sz w:val="16"/>
          <w:szCs w:val="16"/>
        </w:rPr>
        <w:t xml:space="preserve">a) Às operações ou partes de operações apoiadas unicamente pelo FSE; </w:t>
      </w:r>
    </w:p>
    <w:p w14:paraId="43FDF791" w14:textId="77777777" w:rsidR="00F13BFB" w:rsidRPr="00A917C2" w:rsidRDefault="00F13BFB" w:rsidP="008D7328">
      <w:pPr>
        <w:pStyle w:val="Textodenotaderodap"/>
        <w:ind w:left="284"/>
        <w:jc w:val="both"/>
        <w:rPr>
          <w:rFonts w:asciiTheme="minorHAnsi" w:hAnsiTheme="minorHAnsi"/>
          <w:i/>
          <w:sz w:val="16"/>
          <w:szCs w:val="16"/>
        </w:rPr>
      </w:pPr>
      <w:r w:rsidRPr="00A917C2">
        <w:rPr>
          <w:rFonts w:asciiTheme="minorHAnsi" w:hAnsiTheme="minorHAnsi"/>
          <w:i/>
          <w:sz w:val="16"/>
          <w:szCs w:val="16"/>
        </w:rPr>
        <w:t xml:space="preserve">b) Às operações cujo custo total elegível antes da aplicação dos n. </w:t>
      </w:r>
      <w:proofErr w:type="gramStart"/>
      <w:r w:rsidRPr="00A917C2">
        <w:rPr>
          <w:rFonts w:asciiTheme="minorHAnsi" w:hAnsiTheme="minorHAnsi"/>
          <w:i/>
          <w:sz w:val="16"/>
          <w:szCs w:val="16"/>
        </w:rPr>
        <w:t>os</w:t>
      </w:r>
      <w:proofErr w:type="gramEnd"/>
      <w:r w:rsidRPr="00A917C2">
        <w:rPr>
          <w:rFonts w:asciiTheme="minorHAnsi" w:hAnsiTheme="minorHAnsi"/>
          <w:i/>
          <w:sz w:val="16"/>
          <w:szCs w:val="16"/>
        </w:rPr>
        <w:t xml:space="preserve"> 1 a 6 não seja superior a 1 000 000 EUR;</w:t>
      </w:r>
    </w:p>
    <w:p w14:paraId="010F5523" w14:textId="77777777" w:rsidR="00F13BFB" w:rsidRPr="00A917C2" w:rsidRDefault="00F13BFB" w:rsidP="008D7328">
      <w:pPr>
        <w:pStyle w:val="Textodenotaderodap"/>
        <w:ind w:left="284"/>
        <w:jc w:val="both"/>
        <w:rPr>
          <w:rFonts w:asciiTheme="minorHAnsi" w:hAnsiTheme="minorHAnsi"/>
          <w:i/>
          <w:sz w:val="16"/>
          <w:szCs w:val="16"/>
        </w:rPr>
      </w:pPr>
      <w:r w:rsidRPr="00A917C2">
        <w:rPr>
          <w:rFonts w:asciiTheme="minorHAnsi" w:hAnsiTheme="minorHAnsi"/>
          <w:i/>
          <w:sz w:val="16"/>
          <w:szCs w:val="16"/>
        </w:rPr>
        <w:t xml:space="preserve">c) À ajuda reembolsável sujeita a uma obrigação de reembolso integral e a prémios; </w:t>
      </w:r>
    </w:p>
    <w:p w14:paraId="4441E2ED" w14:textId="77777777" w:rsidR="00F13BFB" w:rsidRPr="00A917C2" w:rsidRDefault="00F13BFB" w:rsidP="008D7328">
      <w:pPr>
        <w:pStyle w:val="Textodenotaderodap"/>
        <w:ind w:left="284"/>
        <w:jc w:val="both"/>
        <w:rPr>
          <w:rFonts w:asciiTheme="minorHAnsi" w:hAnsiTheme="minorHAnsi"/>
          <w:i/>
          <w:sz w:val="16"/>
          <w:szCs w:val="16"/>
        </w:rPr>
      </w:pPr>
      <w:r w:rsidRPr="00A917C2">
        <w:rPr>
          <w:rFonts w:asciiTheme="minorHAnsi" w:hAnsiTheme="minorHAnsi"/>
          <w:i/>
          <w:sz w:val="16"/>
          <w:szCs w:val="16"/>
        </w:rPr>
        <w:t xml:space="preserve">d) À assistência técnica; </w:t>
      </w:r>
    </w:p>
    <w:p w14:paraId="2EAB7551" w14:textId="77777777" w:rsidR="00F13BFB" w:rsidRPr="00A917C2" w:rsidRDefault="00F13BFB" w:rsidP="008D7328">
      <w:pPr>
        <w:pStyle w:val="Textodenotaderodap"/>
        <w:ind w:left="284"/>
        <w:jc w:val="both"/>
        <w:rPr>
          <w:rFonts w:asciiTheme="minorHAnsi" w:hAnsiTheme="minorHAnsi"/>
          <w:i/>
          <w:sz w:val="16"/>
          <w:szCs w:val="16"/>
        </w:rPr>
      </w:pPr>
      <w:r w:rsidRPr="00A917C2">
        <w:rPr>
          <w:rFonts w:asciiTheme="minorHAnsi" w:hAnsiTheme="minorHAnsi"/>
          <w:i/>
          <w:sz w:val="16"/>
          <w:szCs w:val="16"/>
        </w:rPr>
        <w:t xml:space="preserve">e) Ao apoio a ou a partir de instrumentos financeiros; </w:t>
      </w:r>
    </w:p>
    <w:p w14:paraId="02C073DB" w14:textId="77777777" w:rsidR="00F13BFB" w:rsidRPr="00A917C2" w:rsidRDefault="00F13BFB" w:rsidP="008D7328">
      <w:pPr>
        <w:pStyle w:val="Textodenotaderodap"/>
        <w:ind w:left="284"/>
        <w:jc w:val="both"/>
        <w:rPr>
          <w:rFonts w:asciiTheme="minorHAnsi" w:hAnsiTheme="minorHAnsi"/>
          <w:i/>
          <w:sz w:val="16"/>
          <w:szCs w:val="16"/>
        </w:rPr>
      </w:pPr>
      <w:r w:rsidRPr="00A917C2">
        <w:rPr>
          <w:rFonts w:asciiTheme="minorHAnsi" w:hAnsiTheme="minorHAnsi"/>
          <w:i/>
          <w:sz w:val="16"/>
          <w:szCs w:val="16"/>
        </w:rPr>
        <w:t xml:space="preserve">f) Às operações cujo apoio público revista a forma de montantes únicos ou de uma tabela normalizada de custos unitários; </w:t>
      </w:r>
    </w:p>
    <w:p w14:paraId="2C293A5A" w14:textId="77777777" w:rsidR="00F13BFB" w:rsidRPr="00A917C2" w:rsidRDefault="00F13BFB" w:rsidP="008D7328">
      <w:pPr>
        <w:pStyle w:val="Textodenotaderodap"/>
        <w:ind w:left="284"/>
        <w:jc w:val="both"/>
        <w:rPr>
          <w:rFonts w:asciiTheme="minorHAnsi" w:hAnsiTheme="minorHAnsi"/>
          <w:i/>
          <w:sz w:val="16"/>
          <w:szCs w:val="16"/>
        </w:rPr>
      </w:pPr>
      <w:r w:rsidRPr="00A917C2">
        <w:rPr>
          <w:rFonts w:asciiTheme="minorHAnsi" w:hAnsiTheme="minorHAnsi"/>
          <w:i/>
          <w:sz w:val="16"/>
          <w:szCs w:val="16"/>
        </w:rPr>
        <w:t xml:space="preserve">g) Às operações executadas ao abrigo de um plano de ação conjunto; </w:t>
      </w:r>
    </w:p>
    <w:p w14:paraId="44B06577" w14:textId="77777777" w:rsidR="00F13BFB" w:rsidRPr="00A917C2" w:rsidRDefault="00F13BFB" w:rsidP="008D7328">
      <w:pPr>
        <w:pStyle w:val="Textodenotaderodap"/>
        <w:ind w:left="284"/>
        <w:jc w:val="both"/>
        <w:rPr>
          <w:rFonts w:asciiTheme="minorHAnsi" w:hAnsiTheme="minorHAnsi"/>
          <w:i/>
          <w:sz w:val="16"/>
          <w:szCs w:val="16"/>
        </w:rPr>
      </w:pPr>
      <w:r w:rsidRPr="00A917C2">
        <w:rPr>
          <w:rFonts w:asciiTheme="minorHAnsi" w:hAnsiTheme="minorHAnsi"/>
          <w:i/>
          <w:sz w:val="16"/>
          <w:szCs w:val="16"/>
        </w:rPr>
        <w:t>h) As operações cujos montantes ou taxas de apoio estejam definidos no anexo II ao Regulamento FEADER;”</w:t>
      </w:r>
    </w:p>
    <w:p w14:paraId="3E315DBF" w14:textId="77777777" w:rsidR="00F13BFB" w:rsidRPr="00741557" w:rsidRDefault="00F13BFB" w:rsidP="008D7328">
      <w:pPr>
        <w:pStyle w:val="Textodenotaderodap"/>
        <w:ind w:left="0"/>
        <w:jc w:val="both"/>
        <w:rPr>
          <w:sz w:val="16"/>
          <w:szCs w:val="16"/>
        </w:rPr>
      </w:pPr>
      <w:r w:rsidRPr="00A917C2">
        <w:rPr>
          <w:rFonts w:asciiTheme="minorHAnsi" w:hAnsiTheme="minorHAnsi"/>
          <w:sz w:val="16"/>
          <w:szCs w:val="16"/>
        </w:rPr>
        <w:t xml:space="preserve">O número 8 do mesmo regulamento refere que </w:t>
      </w:r>
      <w:r w:rsidRPr="00A917C2">
        <w:rPr>
          <w:rFonts w:asciiTheme="minorHAnsi" w:hAnsiTheme="minorHAnsi"/>
          <w:i/>
          <w:sz w:val="16"/>
          <w:szCs w:val="16"/>
        </w:rPr>
        <w:t>“os nºs 1 a 6 não são aplicáveis às operações cujo apoio ao abrigo do programa constitua: a) Um auxílio de minimis; b) Um auxílio estatal compatível para as PME, quando é aplicado um limite à intensidade ou ao montante do auxílio; c) Um auxílio estatal compatível, quando foi realizada uma verificação individual das necessidades de financiamento, de acordo com as regras aplicáveis aos auxílios estatais.”</w:t>
      </w:r>
    </w:p>
  </w:footnote>
  <w:footnote w:id="8">
    <w:p w14:paraId="06E64839" w14:textId="77777777" w:rsidR="00F13BFB" w:rsidRDefault="00F13BFB" w:rsidP="00A542C9">
      <w:pPr>
        <w:pStyle w:val="Textodenotaderodap"/>
        <w:ind w:left="0"/>
      </w:pPr>
      <w:r w:rsidRPr="002A539E">
        <w:rPr>
          <w:rFonts w:asciiTheme="minorHAnsi" w:hAnsiTheme="minorHAnsi"/>
          <w:sz w:val="16"/>
          <w:szCs w:val="16"/>
        </w:rPr>
        <w:footnoteRef/>
      </w:r>
      <w:r w:rsidRPr="002A539E">
        <w:rPr>
          <w:rFonts w:asciiTheme="minorHAnsi" w:hAnsiTheme="minorHAnsi"/>
          <w:sz w:val="16"/>
          <w:szCs w:val="16"/>
        </w:rPr>
        <w:t xml:space="preserve"> </w:t>
      </w:r>
      <w:r>
        <w:rPr>
          <w:rFonts w:asciiTheme="minorHAnsi" w:hAnsiTheme="minorHAnsi"/>
          <w:sz w:val="16"/>
          <w:szCs w:val="16"/>
        </w:rPr>
        <w:t>Conforme definição constante do ponto 3</w:t>
      </w:r>
      <w:r w:rsidRPr="002A539E">
        <w:rPr>
          <w:rFonts w:asciiTheme="minorHAnsi" w:hAnsiTheme="minorHAnsi"/>
          <w:sz w:val="16"/>
          <w:szCs w:val="16"/>
        </w:rPr>
        <w:t>.2.</w:t>
      </w:r>
    </w:p>
  </w:footnote>
  <w:footnote w:id="9">
    <w:p w14:paraId="4B6D7265" w14:textId="77777777" w:rsidR="00F13BFB" w:rsidRDefault="00F13BFB" w:rsidP="00EC3E8F">
      <w:pPr>
        <w:pStyle w:val="Textodenotaderodap"/>
        <w:ind w:left="0"/>
      </w:pPr>
      <w:r w:rsidRPr="006D2D48">
        <w:rPr>
          <w:rFonts w:asciiTheme="minorHAnsi" w:hAnsiTheme="minorHAnsi"/>
          <w:sz w:val="16"/>
          <w:szCs w:val="16"/>
        </w:rPr>
        <w:footnoteRef/>
      </w:r>
      <w:r w:rsidRPr="006D2D48">
        <w:rPr>
          <w:rFonts w:asciiTheme="minorHAnsi" w:hAnsiTheme="minorHAnsi"/>
          <w:sz w:val="16"/>
          <w:szCs w:val="16"/>
        </w:rPr>
        <w:t xml:space="preserve"> O conjunto das fontes de financiamento a considerar deve corresponder ao investimento total.</w:t>
      </w:r>
    </w:p>
  </w:footnote>
  <w:footnote w:id="10">
    <w:p w14:paraId="40CA75AB" w14:textId="77777777" w:rsidR="00F13BFB" w:rsidRPr="00472DF5" w:rsidRDefault="00F13BFB" w:rsidP="00483B31">
      <w:pPr>
        <w:pStyle w:val="Textodenotaderodap"/>
        <w:ind w:left="0"/>
        <w:jc w:val="both"/>
        <w:rPr>
          <w:rFonts w:asciiTheme="minorHAnsi" w:hAnsiTheme="minorHAnsi"/>
          <w:sz w:val="16"/>
          <w:szCs w:val="16"/>
        </w:rPr>
      </w:pPr>
      <w:r w:rsidRPr="00472DF5">
        <w:rPr>
          <w:rStyle w:val="Refdenotaderodap"/>
          <w:rFonts w:asciiTheme="minorHAnsi" w:hAnsiTheme="minorHAnsi"/>
          <w:sz w:val="16"/>
          <w:szCs w:val="16"/>
        </w:rPr>
        <w:footnoteRef/>
      </w:r>
      <w:r w:rsidRPr="00472DF5">
        <w:rPr>
          <w:rFonts w:asciiTheme="minorHAnsi" w:hAnsiTheme="minorHAnsi"/>
          <w:sz w:val="16"/>
          <w:szCs w:val="16"/>
        </w:rPr>
        <w:t xml:space="preserve"> O nº 8 do artigo 65º não é aplicável</w:t>
      </w:r>
      <w:proofErr w:type="gramStart"/>
      <w:r w:rsidRPr="00472DF5">
        <w:rPr>
          <w:rFonts w:asciiTheme="minorHAnsi" w:hAnsiTheme="minorHAnsi"/>
          <w:sz w:val="16"/>
          <w:szCs w:val="16"/>
        </w:rPr>
        <w:t>:  a</w:t>
      </w:r>
      <w:proofErr w:type="gramEnd"/>
      <w:r w:rsidRPr="00472DF5">
        <w:rPr>
          <w:rFonts w:asciiTheme="minorHAnsi" w:hAnsiTheme="minorHAnsi"/>
          <w:sz w:val="16"/>
          <w:szCs w:val="16"/>
        </w:rPr>
        <w:t xml:space="preserve">) À assistência técnica; b) </w:t>
      </w:r>
      <w:proofErr w:type="gramStart"/>
      <w:r w:rsidRPr="00472DF5">
        <w:rPr>
          <w:rFonts w:asciiTheme="minorHAnsi" w:hAnsiTheme="minorHAnsi"/>
          <w:sz w:val="16"/>
          <w:szCs w:val="16"/>
        </w:rPr>
        <w:t>À</w:t>
      </w:r>
      <w:proofErr w:type="gramEnd"/>
      <w:r w:rsidRPr="00472DF5">
        <w:rPr>
          <w:rFonts w:asciiTheme="minorHAnsi" w:hAnsiTheme="minorHAnsi"/>
          <w:sz w:val="16"/>
          <w:szCs w:val="16"/>
        </w:rPr>
        <w:t xml:space="preserve"> instrumentos financeiros; c) À ajuda reembolsável sujeita a uma obrigação de reembolso integral; d) Aos prémios; e) Às operações sujeitas às regras dos auxílios estatais; f) Às operações cujo apoio público assuma a forma de montantes fixos ou custos unitários tabelados, desde que a receita líquida tenha sido considerada </w:t>
      </w:r>
      <w:proofErr w:type="spellStart"/>
      <w:r w:rsidRPr="00472DF5">
        <w:rPr>
          <w:rFonts w:asciiTheme="minorHAnsi" w:hAnsiTheme="minorHAnsi"/>
          <w:sz w:val="16"/>
          <w:szCs w:val="16"/>
        </w:rPr>
        <w:t>ex</w:t>
      </w:r>
      <w:proofErr w:type="spellEnd"/>
      <w:r w:rsidRPr="00472DF5">
        <w:rPr>
          <w:rFonts w:asciiTheme="minorHAnsi" w:hAnsiTheme="minorHAnsi"/>
          <w:sz w:val="16"/>
          <w:szCs w:val="16"/>
        </w:rPr>
        <w:t xml:space="preserve"> </w:t>
      </w:r>
      <w:proofErr w:type="gramStart"/>
      <w:r w:rsidRPr="00472DF5">
        <w:rPr>
          <w:rFonts w:asciiTheme="minorHAnsi" w:hAnsiTheme="minorHAnsi"/>
          <w:sz w:val="16"/>
          <w:szCs w:val="16"/>
        </w:rPr>
        <w:t>ante</w:t>
      </w:r>
      <w:proofErr w:type="gramEnd"/>
      <w:r w:rsidRPr="00472DF5">
        <w:rPr>
          <w:rFonts w:asciiTheme="minorHAnsi" w:hAnsiTheme="minorHAnsi"/>
          <w:sz w:val="16"/>
          <w:szCs w:val="16"/>
        </w:rPr>
        <w:t xml:space="preserve">; g) Às operações executadas no âmbito de um plano de ação conjunto, desde que a receita líquida tenha sido considerada </w:t>
      </w:r>
      <w:proofErr w:type="spellStart"/>
      <w:r w:rsidRPr="00472DF5">
        <w:rPr>
          <w:rFonts w:asciiTheme="minorHAnsi" w:hAnsiTheme="minorHAnsi"/>
          <w:sz w:val="16"/>
          <w:szCs w:val="16"/>
        </w:rPr>
        <w:t>ex</w:t>
      </w:r>
      <w:proofErr w:type="spellEnd"/>
      <w:r w:rsidRPr="00472DF5">
        <w:rPr>
          <w:rFonts w:asciiTheme="minorHAnsi" w:hAnsiTheme="minorHAnsi"/>
          <w:sz w:val="16"/>
          <w:szCs w:val="16"/>
        </w:rPr>
        <w:t xml:space="preserve"> </w:t>
      </w:r>
      <w:proofErr w:type="gramStart"/>
      <w:r w:rsidRPr="00472DF5">
        <w:rPr>
          <w:rFonts w:asciiTheme="minorHAnsi" w:hAnsiTheme="minorHAnsi"/>
          <w:sz w:val="16"/>
          <w:szCs w:val="16"/>
        </w:rPr>
        <w:t>ante</w:t>
      </w:r>
      <w:proofErr w:type="gramEnd"/>
      <w:r w:rsidRPr="00472DF5">
        <w:rPr>
          <w:rFonts w:asciiTheme="minorHAnsi" w:hAnsiTheme="minorHAnsi"/>
          <w:sz w:val="16"/>
          <w:szCs w:val="16"/>
        </w:rPr>
        <w:t>; h) Às operações cujos montantes ou taxas de apoio estejam definidos no anexo I ao Regulamento FEADER, ou i) Às operações cujo custo total elegível não ultrapasse os 50 000 EUR.</w:t>
      </w:r>
    </w:p>
  </w:footnote>
  <w:footnote w:id="11">
    <w:p w14:paraId="3210E6F5" w14:textId="77777777" w:rsidR="00F13BFB" w:rsidRPr="00472DF5" w:rsidRDefault="00F13BFB" w:rsidP="00483B31">
      <w:pPr>
        <w:pStyle w:val="Textodenotaderodap"/>
        <w:ind w:left="0"/>
        <w:jc w:val="both"/>
        <w:rPr>
          <w:rFonts w:asciiTheme="minorHAnsi" w:hAnsiTheme="minorHAnsi"/>
          <w:sz w:val="16"/>
          <w:szCs w:val="16"/>
        </w:rPr>
      </w:pPr>
      <w:r w:rsidRPr="00472DF5">
        <w:rPr>
          <w:rStyle w:val="Refdenotaderodap"/>
          <w:rFonts w:asciiTheme="minorHAnsi" w:hAnsiTheme="minorHAnsi"/>
          <w:sz w:val="16"/>
          <w:szCs w:val="16"/>
        </w:rPr>
        <w:footnoteRef/>
      </w:r>
      <w:r w:rsidRPr="00472DF5">
        <w:rPr>
          <w:rFonts w:asciiTheme="minorHAnsi" w:hAnsiTheme="minorHAnsi"/>
          <w:sz w:val="16"/>
          <w:szCs w:val="16"/>
        </w:rPr>
        <w:t xml:space="preserve"> </w:t>
      </w:r>
      <w:r>
        <w:rPr>
          <w:rFonts w:asciiTheme="minorHAnsi" w:hAnsiTheme="minorHAnsi"/>
          <w:sz w:val="16"/>
          <w:szCs w:val="16"/>
        </w:rPr>
        <w:t xml:space="preserve">Para efeitos do artigo </w:t>
      </w:r>
      <w:proofErr w:type="gramStart"/>
      <w:r>
        <w:rPr>
          <w:rFonts w:asciiTheme="minorHAnsi" w:hAnsiTheme="minorHAnsi"/>
          <w:sz w:val="16"/>
          <w:szCs w:val="16"/>
        </w:rPr>
        <w:t xml:space="preserve">65º, </w:t>
      </w:r>
      <w:r w:rsidRPr="00472DF5">
        <w:rPr>
          <w:rFonts w:asciiTheme="minorHAnsi" w:hAnsiTheme="minorHAnsi"/>
          <w:sz w:val="16"/>
          <w:szCs w:val="16"/>
        </w:rPr>
        <w:t xml:space="preserve"> </w:t>
      </w:r>
      <w:r>
        <w:rPr>
          <w:rFonts w:asciiTheme="minorHAnsi" w:hAnsiTheme="minorHAnsi"/>
          <w:sz w:val="16"/>
          <w:szCs w:val="16"/>
        </w:rPr>
        <w:t>assim</w:t>
      </w:r>
      <w:proofErr w:type="gramEnd"/>
      <w:r>
        <w:rPr>
          <w:rFonts w:asciiTheme="minorHAnsi" w:hAnsiTheme="minorHAnsi"/>
          <w:sz w:val="16"/>
          <w:szCs w:val="16"/>
        </w:rPr>
        <w:t xml:space="preserve"> como do</w:t>
      </w:r>
      <w:r w:rsidRPr="00472DF5">
        <w:rPr>
          <w:rFonts w:asciiTheme="minorHAnsi" w:hAnsiTheme="minorHAnsi"/>
          <w:sz w:val="16"/>
          <w:szCs w:val="16"/>
        </w:rPr>
        <w:t xml:space="preserve"> artigo 61º, não é considerado receita e não é deduzido</w:t>
      </w:r>
      <w:r>
        <w:rPr>
          <w:rFonts w:asciiTheme="minorHAnsi" w:hAnsiTheme="minorHAnsi"/>
          <w:sz w:val="16"/>
          <w:szCs w:val="16"/>
        </w:rPr>
        <w:t>,</w:t>
      </w:r>
      <w:r w:rsidRPr="00472DF5">
        <w:rPr>
          <w:rFonts w:asciiTheme="minorHAnsi" w:hAnsiTheme="minorHAnsi"/>
          <w:sz w:val="16"/>
          <w:szCs w:val="16"/>
        </w:rPr>
        <w:t xml:space="preserve"> </w:t>
      </w:r>
      <w:r>
        <w:rPr>
          <w:rFonts w:asciiTheme="minorHAnsi" w:hAnsiTheme="minorHAnsi"/>
          <w:sz w:val="16"/>
          <w:szCs w:val="16"/>
        </w:rPr>
        <w:t xml:space="preserve">ao investimento total </w:t>
      </w:r>
      <w:r w:rsidRPr="00472DF5">
        <w:rPr>
          <w:rFonts w:asciiTheme="minorHAnsi" w:hAnsiTheme="minorHAnsi"/>
          <w:sz w:val="16"/>
          <w:szCs w:val="16"/>
        </w:rPr>
        <w:t>elegível da operação</w:t>
      </w:r>
      <w:r>
        <w:rPr>
          <w:rFonts w:asciiTheme="minorHAnsi" w:hAnsiTheme="minorHAnsi"/>
          <w:sz w:val="16"/>
          <w:szCs w:val="16"/>
        </w:rPr>
        <w:t>,</w:t>
      </w:r>
      <w:r w:rsidRPr="00472DF5">
        <w:rPr>
          <w:rFonts w:asciiTheme="minorHAnsi" w:hAnsiTheme="minorHAnsi"/>
          <w:sz w:val="16"/>
          <w:szCs w:val="16"/>
        </w:rPr>
        <w:t xml:space="preserve"> o pagamento recebido pelo beneficiário em aplicação de uma penalização contratual relativa ao incumprimento do contrato entre o beneficiário e terceiros, ou que tenha resultado do facto de um terceiro escolhido de acordo com as regras sobre contratos públicos ter retirado a sua oferta (depósito).</w:t>
      </w:r>
    </w:p>
  </w:footnote>
  <w:footnote w:id="12">
    <w:p w14:paraId="4D790392" w14:textId="77777777" w:rsidR="00F13BFB" w:rsidRPr="00472DF5" w:rsidRDefault="00F13BFB" w:rsidP="000120EA">
      <w:pPr>
        <w:pStyle w:val="Textodenotaderodap"/>
        <w:ind w:left="0"/>
        <w:jc w:val="both"/>
        <w:rPr>
          <w:rFonts w:asciiTheme="minorHAnsi" w:hAnsiTheme="minorHAnsi"/>
          <w:sz w:val="16"/>
          <w:szCs w:val="16"/>
        </w:rPr>
      </w:pPr>
      <w:r>
        <w:rPr>
          <w:rStyle w:val="Refdenotaderodap"/>
        </w:rPr>
        <w:footnoteRef/>
      </w:r>
      <w:r>
        <w:t xml:space="preserve"> </w:t>
      </w:r>
      <w:r w:rsidRPr="00472DF5">
        <w:rPr>
          <w:rFonts w:asciiTheme="minorHAnsi" w:hAnsiTheme="minorHAnsi"/>
          <w:sz w:val="16"/>
          <w:szCs w:val="16"/>
        </w:rPr>
        <w:t xml:space="preserve">Nestas situações será sempre necessário efetuar uma análise de sustentabilidade financeira para verificar se, ao longo do horizonte temporal </w:t>
      </w:r>
      <w:r>
        <w:rPr>
          <w:rFonts w:asciiTheme="minorHAnsi" w:hAnsiTheme="minorHAnsi"/>
          <w:sz w:val="16"/>
          <w:szCs w:val="16"/>
        </w:rPr>
        <w:t>da análise</w:t>
      </w:r>
      <w:r w:rsidRPr="00472DF5">
        <w:rPr>
          <w:rFonts w:asciiTheme="minorHAnsi" w:hAnsiTheme="minorHAnsi"/>
          <w:sz w:val="16"/>
          <w:szCs w:val="16"/>
        </w:rPr>
        <w:t>, existirão verbas suficientes para cobrir as despesas associadas ao mesmo.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82E764" w14:textId="77777777" w:rsidR="00F13BFB" w:rsidRDefault="00F13BFB" w:rsidP="0079342A">
    <w:pPr>
      <w:pStyle w:val="Cabealho"/>
      <w:tabs>
        <w:tab w:val="clear" w:pos="4320"/>
      </w:tabs>
      <w:spacing w:before="20" w:after="20"/>
      <w:ind w:left="-142" w:firstLine="14"/>
      <w:jc w:val="left"/>
      <w:rPr>
        <w:rStyle w:val="MessageHeaderLabel"/>
        <w:b w:val="0"/>
        <w:sz w:val="20"/>
        <w:szCs w:val="18"/>
      </w:rPr>
    </w:pPr>
    <w:r>
      <w:rPr>
        <w:noProof/>
        <w:lang w:eastAsia="pt-PT"/>
      </w:rPr>
      <w:drawing>
        <wp:inline distT="0" distB="0" distL="0" distR="0" wp14:anchorId="2019B35C" wp14:editId="4F105803">
          <wp:extent cx="1133475" cy="492697"/>
          <wp:effectExtent l="0" t="0" r="0" b="0"/>
          <wp:docPr id="2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olinha POSEU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40925" cy="49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EE254" w14:textId="198358C2" w:rsidR="00F13BFB" w:rsidRDefault="00F13BFB" w:rsidP="00B12E27">
    <w:pPr>
      <w:pStyle w:val="Cabealho"/>
      <w:tabs>
        <w:tab w:val="clear" w:pos="4320"/>
        <w:tab w:val="clear" w:pos="8640"/>
      </w:tabs>
      <w:ind w:left="-14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91927A" w14:textId="227F36CB" w:rsidR="00F13BFB" w:rsidRDefault="00922E61" w:rsidP="00AC20A4">
    <w:pPr>
      <w:pStyle w:val="Cabealho"/>
      <w:tabs>
        <w:tab w:val="clear" w:pos="4320"/>
      </w:tabs>
      <w:spacing w:before="20" w:after="20"/>
      <w:ind w:left="-142" w:firstLine="14"/>
      <w:jc w:val="right"/>
      <w:rPr>
        <w:rStyle w:val="MessageHeaderLabel"/>
        <w:b w:val="0"/>
        <w:sz w:val="20"/>
        <w:szCs w:val="18"/>
      </w:rPr>
    </w:pP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 wp14:anchorId="57C1DDE3" wp14:editId="5671648F">
          <wp:simplePos x="0" y="0"/>
          <wp:positionH relativeFrom="column">
            <wp:posOffset>61595</wp:posOffset>
          </wp:positionH>
          <wp:positionV relativeFrom="paragraph">
            <wp:posOffset>-180340</wp:posOffset>
          </wp:positionV>
          <wp:extent cx="3075940" cy="133731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5940" cy="1337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BFB" w:rsidRPr="001A1C20">
      <w:rPr>
        <w:rStyle w:val="MessageHeaderLabel"/>
        <w:b w:val="0"/>
        <w:sz w:val="20"/>
        <w:szCs w:val="18"/>
      </w:rPr>
      <w:fldChar w:fldCharType="begin"/>
    </w:r>
    <w:r w:rsidR="00F13BFB" w:rsidRPr="001A1C20">
      <w:rPr>
        <w:rStyle w:val="MessageHeaderLabel"/>
        <w:b w:val="0"/>
        <w:sz w:val="20"/>
        <w:szCs w:val="18"/>
      </w:rPr>
      <w:instrText xml:space="preserve"> PAGE   \* MERGEFORMAT </w:instrText>
    </w:r>
    <w:r w:rsidR="00F13BFB" w:rsidRPr="001A1C20">
      <w:rPr>
        <w:rStyle w:val="MessageHeaderLabel"/>
        <w:b w:val="0"/>
        <w:sz w:val="20"/>
        <w:szCs w:val="18"/>
      </w:rPr>
      <w:fldChar w:fldCharType="separate"/>
    </w:r>
    <w:r>
      <w:rPr>
        <w:rStyle w:val="MessageHeaderLabel"/>
        <w:b w:val="0"/>
        <w:noProof/>
        <w:sz w:val="20"/>
        <w:szCs w:val="18"/>
      </w:rPr>
      <w:t>4</w:t>
    </w:r>
    <w:r w:rsidR="00F13BFB" w:rsidRPr="001A1C20">
      <w:rPr>
        <w:rStyle w:val="MessageHeaderLabel"/>
        <w:b w:val="0"/>
        <w:noProof/>
        <w:sz w:val="20"/>
        <w:szCs w:val="18"/>
      </w:rPr>
      <w:fldChar w:fldCharType="end"/>
    </w:r>
  </w:p>
  <w:p w14:paraId="34AD43D6" w14:textId="77777777" w:rsidR="00F13BFB" w:rsidRDefault="00F13BFB" w:rsidP="00DF3BA4">
    <w:pPr>
      <w:pStyle w:val="Cabealho"/>
      <w:suppressLineNumbers/>
      <w:tabs>
        <w:tab w:val="clear" w:pos="4320"/>
      </w:tabs>
      <w:spacing w:before="20" w:after="20"/>
      <w:ind w:left="-142" w:firstLine="14"/>
      <w:jc w:val="right"/>
      <w:rPr>
        <w:rStyle w:val="MessageHeaderLabel"/>
        <w:b w:val="0"/>
        <w:sz w:val="20"/>
        <w:szCs w:val="18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A693A4" w14:textId="77777777" w:rsidR="00F13BFB" w:rsidRDefault="00F13BFB" w:rsidP="00B12E27">
    <w:pPr>
      <w:pStyle w:val="Cabealho"/>
      <w:tabs>
        <w:tab w:val="clear" w:pos="4320"/>
        <w:tab w:val="clear" w:pos="8640"/>
      </w:tabs>
      <w:ind w:left="-142"/>
    </w:pPr>
    <w:r>
      <w:rPr>
        <w:noProof/>
        <w:lang w:eastAsia="pt-PT"/>
      </w:rPr>
      <w:drawing>
        <wp:anchor distT="0" distB="0" distL="114300" distR="114300" simplePos="0" relativeHeight="251654144" behindDoc="1" locked="0" layoutInCell="1" allowOverlap="1" wp14:anchorId="5A10F167" wp14:editId="5709EED5">
          <wp:simplePos x="0" y="0"/>
          <wp:positionH relativeFrom="column">
            <wp:posOffset>-724535</wp:posOffset>
          </wp:positionH>
          <wp:positionV relativeFrom="paragraph">
            <wp:posOffset>-171744</wp:posOffset>
          </wp:positionV>
          <wp:extent cx="7574508" cy="1337352"/>
          <wp:effectExtent l="0" t="0" r="762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alh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508" cy="1337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A6C8F88"/>
    <w:lvl w:ilvl="0">
      <w:start w:val="1"/>
      <w:numFmt w:val="decimal"/>
      <w:pStyle w:val="Lista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D68AA0C"/>
    <w:lvl w:ilvl="0">
      <w:start w:val="1"/>
      <w:numFmt w:val="decimal"/>
      <w:pStyle w:val="Lista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0C02FBC"/>
    <w:lvl w:ilvl="0">
      <w:start w:val="1"/>
      <w:numFmt w:val="decimal"/>
      <w:pStyle w:val="Lista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ADA5D8A"/>
    <w:lvl w:ilvl="0">
      <w:start w:val="1"/>
      <w:numFmt w:val="decimal"/>
      <w:pStyle w:val="Lista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B1C1D5A"/>
    <w:lvl w:ilvl="0">
      <w:start w:val="1"/>
      <w:numFmt w:val="bullet"/>
      <w:pStyle w:val="Listacommarc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F56B1C4"/>
    <w:lvl w:ilvl="0">
      <w:start w:val="1"/>
      <w:numFmt w:val="bullet"/>
      <w:pStyle w:val="Listacommarc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1F0CABC"/>
    <w:lvl w:ilvl="0">
      <w:start w:val="1"/>
      <w:numFmt w:val="bullet"/>
      <w:pStyle w:val="Listacommarc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8B40C3E"/>
    <w:lvl w:ilvl="0">
      <w:start w:val="1"/>
      <w:numFmt w:val="bullet"/>
      <w:pStyle w:val="Listacommarc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E121C10"/>
    <w:lvl w:ilvl="0">
      <w:start w:val="1"/>
      <w:numFmt w:val="decimal"/>
      <w:pStyle w:val="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8F4C372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783089"/>
    <w:multiLevelType w:val="multilevel"/>
    <w:tmpl w:val="7170595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8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00" w:hanging="1440"/>
      </w:pPr>
      <w:rPr>
        <w:rFonts w:hint="default"/>
      </w:rPr>
    </w:lvl>
  </w:abstractNum>
  <w:abstractNum w:abstractNumId="11">
    <w:nsid w:val="06BF778C"/>
    <w:multiLevelType w:val="hybridMultilevel"/>
    <w:tmpl w:val="FBB849B2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DC2009"/>
    <w:multiLevelType w:val="hybridMultilevel"/>
    <w:tmpl w:val="7E74AFDA"/>
    <w:lvl w:ilvl="0" w:tplc="0816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3">
    <w:nsid w:val="12295CCB"/>
    <w:multiLevelType w:val="hybridMultilevel"/>
    <w:tmpl w:val="5B707052"/>
    <w:lvl w:ilvl="0" w:tplc="08160019">
      <w:start w:val="1"/>
      <w:numFmt w:val="decimal"/>
      <w:lvlText w:val="2.%1."/>
      <w:lvlJc w:val="left"/>
      <w:pPr>
        <w:ind w:left="1555" w:hanging="360"/>
      </w:pPr>
      <w:rPr>
        <w:rFonts w:hint="default"/>
        <w:b/>
        <w:color w:val="4BACC6" w:themeColor="accent5"/>
      </w:rPr>
    </w:lvl>
    <w:lvl w:ilvl="1" w:tplc="08160019" w:tentative="1">
      <w:start w:val="1"/>
      <w:numFmt w:val="lowerLetter"/>
      <w:lvlText w:val="%2."/>
      <w:lvlJc w:val="left"/>
      <w:pPr>
        <w:ind w:left="2275" w:hanging="360"/>
      </w:pPr>
    </w:lvl>
    <w:lvl w:ilvl="2" w:tplc="0816001B" w:tentative="1">
      <w:start w:val="1"/>
      <w:numFmt w:val="lowerRoman"/>
      <w:lvlText w:val="%3."/>
      <w:lvlJc w:val="right"/>
      <w:pPr>
        <w:ind w:left="2995" w:hanging="180"/>
      </w:pPr>
    </w:lvl>
    <w:lvl w:ilvl="3" w:tplc="0816000F" w:tentative="1">
      <w:start w:val="1"/>
      <w:numFmt w:val="decimal"/>
      <w:lvlText w:val="%4."/>
      <w:lvlJc w:val="left"/>
      <w:pPr>
        <w:ind w:left="3715" w:hanging="360"/>
      </w:pPr>
    </w:lvl>
    <w:lvl w:ilvl="4" w:tplc="08160019" w:tentative="1">
      <w:start w:val="1"/>
      <w:numFmt w:val="lowerLetter"/>
      <w:lvlText w:val="%5."/>
      <w:lvlJc w:val="left"/>
      <w:pPr>
        <w:ind w:left="4435" w:hanging="360"/>
      </w:pPr>
    </w:lvl>
    <w:lvl w:ilvl="5" w:tplc="0816001B" w:tentative="1">
      <w:start w:val="1"/>
      <w:numFmt w:val="lowerRoman"/>
      <w:lvlText w:val="%6."/>
      <w:lvlJc w:val="right"/>
      <w:pPr>
        <w:ind w:left="5155" w:hanging="180"/>
      </w:pPr>
    </w:lvl>
    <w:lvl w:ilvl="6" w:tplc="0816000F" w:tentative="1">
      <w:start w:val="1"/>
      <w:numFmt w:val="decimal"/>
      <w:lvlText w:val="%7."/>
      <w:lvlJc w:val="left"/>
      <w:pPr>
        <w:ind w:left="5875" w:hanging="360"/>
      </w:pPr>
    </w:lvl>
    <w:lvl w:ilvl="7" w:tplc="08160019" w:tentative="1">
      <w:start w:val="1"/>
      <w:numFmt w:val="lowerLetter"/>
      <w:lvlText w:val="%8."/>
      <w:lvlJc w:val="left"/>
      <w:pPr>
        <w:ind w:left="6595" w:hanging="360"/>
      </w:pPr>
    </w:lvl>
    <w:lvl w:ilvl="8" w:tplc="0816001B" w:tentative="1">
      <w:start w:val="1"/>
      <w:numFmt w:val="lowerRoman"/>
      <w:lvlText w:val="%9."/>
      <w:lvlJc w:val="right"/>
      <w:pPr>
        <w:ind w:left="7315" w:hanging="180"/>
      </w:pPr>
    </w:lvl>
  </w:abstractNum>
  <w:abstractNum w:abstractNumId="14">
    <w:nsid w:val="1BF00C29"/>
    <w:multiLevelType w:val="multilevel"/>
    <w:tmpl w:val="7C8EEF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">
    <w:nsid w:val="1F34465F"/>
    <w:multiLevelType w:val="hybridMultilevel"/>
    <w:tmpl w:val="9376AA42"/>
    <w:lvl w:ilvl="0" w:tplc="08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6859F9"/>
    <w:multiLevelType w:val="multilevel"/>
    <w:tmpl w:val="081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>
    <w:nsid w:val="264E4300"/>
    <w:multiLevelType w:val="hybridMultilevel"/>
    <w:tmpl w:val="36F81C28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0526BB"/>
    <w:multiLevelType w:val="multilevel"/>
    <w:tmpl w:val="05C0FF9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>
    <w:nsid w:val="2CA16947"/>
    <w:multiLevelType w:val="hybridMultilevel"/>
    <w:tmpl w:val="539AC070"/>
    <w:lvl w:ilvl="0" w:tplc="0816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33D071E2"/>
    <w:multiLevelType w:val="hybridMultilevel"/>
    <w:tmpl w:val="62582182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CE797D"/>
    <w:multiLevelType w:val="hybridMultilevel"/>
    <w:tmpl w:val="231E883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071C70"/>
    <w:multiLevelType w:val="multilevel"/>
    <w:tmpl w:val="7304FE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5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0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0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000" w:hanging="1440"/>
      </w:pPr>
      <w:rPr>
        <w:rFonts w:hint="default"/>
      </w:rPr>
    </w:lvl>
  </w:abstractNum>
  <w:abstractNum w:abstractNumId="23">
    <w:nsid w:val="3DD37551"/>
    <w:multiLevelType w:val="hybridMultilevel"/>
    <w:tmpl w:val="24C03580"/>
    <w:lvl w:ilvl="0" w:tplc="08160017">
      <w:start w:val="1"/>
      <w:numFmt w:val="lowerLetter"/>
      <w:lvlText w:val="%1)"/>
      <w:lvlJc w:val="left"/>
      <w:pPr>
        <w:ind w:left="1555" w:hanging="360"/>
      </w:pPr>
    </w:lvl>
    <w:lvl w:ilvl="1" w:tplc="B930FA92">
      <w:start w:val="1"/>
      <w:numFmt w:val="lowerLetter"/>
      <w:lvlText w:val="%2."/>
      <w:lvlJc w:val="left"/>
      <w:pPr>
        <w:ind w:left="2275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ind w:left="2995" w:hanging="180"/>
      </w:pPr>
    </w:lvl>
    <w:lvl w:ilvl="3" w:tplc="0816000F" w:tentative="1">
      <w:start w:val="1"/>
      <w:numFmt w:val="decimal"/>
      <w:lvlText w:val="%4."/>
      <w:lvlJc w:val="left"/>
      <w:pPr>
        <w:ind w:left="3715" w:hanging="360"/>
      </w:pPr>
    </w:lvl>
    <w:lvl w:ilvl="4" w:tplc="08160019" w:tentative="1">
      <w:start w:val="1"/>
      <w:numFmt w:val="lowerLetter"/>
      <w:lvlText w:val="%5."/>
      <w:lvlJc w:val="left"/>
      <w:pPr>
        <w:ind w:left="4435" w:hanging="360"/>
      </w:pPr>
    </w:lvl>
    <w:lvl w:ilvl="5" w:tplc="0816001B" w:tentative="1">
      <w:start w:val="1"/>
      <w:numFmt w:val="lowerRoman"/>
      <w:lvlText w:val="%6."/>
      <w:lvlJc w:val="right"/>
      <w:pPr>
        <w:ind w:left="5155" w:hanging="180"/>
      </w:pPr>
    </w:lvl>
    <w:lvl w:ilvl="6" w:tplc="0816000F" w:tentative="1">
      <w:start w:val="1"/>
      <w:numFmt w:val="decimal"/>
      <w:lvlText w:val="%7."/>
      <w:lvlJc w:val="left"/>
      <w:pPr>
        <w:ind w:left="5875" w:hanging="360"/>
      </w:pPr>
    </w:lvl>
    <w:lvl w:ilvl="7" w:tplc="08160019" w:tentative="1">
      <w:start w:val="1"/>
      <w:numFmt w:val="lowerLetter"/>
      <w:lvlText w:val="%8."/>
      <w:lvlJc w:val="left"/>
      <w:pPr>
        <w:ind w:left="6595" w:hanging="360"/>
      </w:pPr>
    </w:lvl>
    <w:lvl w:ilvl="8" w:tplc="0816001B" w:tentative="1">
      <w:start w:val="1"/>
      <w:numFmt w:val="lowerRoman"/>
      <w:lvlText w:val="%9."/>
      <w:lvlJc w:val="right"/>
      <w:pPr>
        <w:ind w:left="7315" w:hanging="180"/>
      </w:pPr>
    </w:lvl>
  </w:abstractNum>
  <w:abstractNum w:abstractNumId="24">
    <w:nsid w:val="3FC77C5F"/>
    <w:multiLevelType w:val="hybridMultilevel"/>
    <w:tmpl w:val="1730FA9C"/>
    <w:lvl w:ilvl="0" w:tplc="E43091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983D72"/>
    <w:multiLevelType w:val="hybridMultilevel"/>
    <w:tmpl w:val="E578DD8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043B2D"/>
    <w:multiLevelType w:val="hybridMultilevel"/>
    <w:tmpl w:val="BCA8F04C"/>
    <w:lvl w:ilvl="0" w:tplc="0816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4E8C2707"/>
    <w:multiLevelType w:val="hybridMultilevel"/>
    <w:tmpl w:val="F1C2264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8E571C"/>
    <w:multiLevelType w:val="hybridMultilevel"/>
    <w:tmpl w:val="9D160124"/>
    <w:lvl w:ilvl="0" w:tplc="4B44DC9A">
      <w:start w:val="1"/>
      <w:numFmt w:val="decimal"/>
      <w:lvlText w:val="%1."/>
      <w:lvlJc w:val="left"/>
      <w:pPr>
        <w:ind w:left="119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15" w:hanging="360"/>
      </w:pPr>
    </w:lvl>
    <w:lvl w:ilvl="2" w:tplc="0816001B" w:tentative="1">
      <w:start w:val="1"/>
      <w:numFmt w:val="lowerRoman"/>
      <w:lvlText w:val="%3."/>
      <w:lvlJc w:val="right"/>
      <w:pPr>
        <w:ind w:left="2635" w:hanging="180"/>
      </w:pPr>
    </w:lvl>
    <w:lvl w:ilvl="3" w:tplc="0816000F" w:tentative="1">
      <w:start w:val="1"/>
      <w:numFmt w:val="decimal"/>
      <w:lvlText w:val="%4."/>
      <w:lvlJc w:val="left"/>
      <w:pPr>
        <w:ind w:left="3355" w:hanging="360"/>
      </w:pPr>
    </w:lvl>
    <w:lvl w:ilvl="4" w:tplc="08160019" w:tentative="1">
      <w:start w:val="1"/>
      <w:numFmt w:val="lowerLetter"/>
      <w:lvlText w:val="%5."/>
      <w:lvlJc w:val="left"/>
      <w:pPr>
        <w:ind w:left="4075" w:hanging="360"/>
      </w:pPr>
    </w:lvl>
    <w:lvl w:ilvl="5" w:tplc="0816001B" w:tentative="1">
      <w:start w:val="1"/>
      <w:numFmt w:val="lowerRoman"/>
      <w:lvlText w:val="%6."/>
      <w:lvlJc w:val="right"/>
      <w:pPr>
        <w:ind w:left="4795" w:hanging="180"/>
      </w:pPr>
    </w:lvl>
    <w:lvl w:ilvl="6" w:tplc="0816000F" w:tentative="1">
      <w:start w:val="1"/>
      <w:numFmt w:val="decimal"/>
      <w:lvlText w:val="%7."/>
      <w:lvlJc w:val="left"/>
      <w:pPr>
        <w:ind w:left="5515" w:hanging="360"/>
      </w:pPr>
    </w:lvl>
    <w:lvl w:ilvl="7" w:tplc="08160019" w:tentative="1">
      <w:start w:val="1"/>
      <w:numFmt w:val="lowerLetter"/>
      <w:lvlText w:val="%8."/>
      <w:lvlJc w:val="left"/>
      <w:pPr>
        <w:ind w:left="6235" w:hanging="360"/>
      </w:pPr>
    </w:lvl>
    <w:lvl w:ilvl="8" w:tplc="0816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29">
    <w:nsid w:val="570D4A40"/>
    <w:multiLevelType w:val="hybridMultilevel"/>
    <w:tmpl w:val="7A82627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AC0275"/>
    <w:multiLevelType w:val="hybridMultilevel"/>
    <w:tmpl w:val="0534DEF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D0338E"/>
    <w:multiLevelType w:val="hybridMultilevel"/>
    <w:tmpl w:val="1EA2A604"/>
    <w:lvl w:ilvl="0" w:tplc="08160005">
      <w:start w:val="1"/>
      <w:numFmt w:val="bullet"/>
      <w:lvlText w:val=""/>
      <w:lvlJc w:val="left"/>
      <w:pPr>
        <w:ind w:left="4689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2">
    <w:nsid w:val="5B04006F"/>
    <w:multiLevelType w:val="hybridMultilevel"/>
    <w:tmpl w:val="93C090E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1F4D05"/>
    <w:multiLevelType w:val="multilevel"/>
    <w:tmpl w:val="374A654A"/>
    <w:lvl w:ilvl="0">
      <w:start w:val="1"/>
      <w:numFmt w:val="decimal"/>
      <w:lvlText w:val="%1."/>
      <w:lvlJc w:val="left"/>
      <w:pPr>
        <w:ind w:left="748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5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0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1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47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4" w:hanging="1440"/>
      </w:pPr>
      <w:rPr>
        <w:rFonts w:hint="default"/>
      </w:rPr>
    </w:lvl>
  </w:abstractNum>
  <w:abstractNum w:abstractNumId="34">
    <w:nsid w:val="5C8A5A8C"/>
    <w:multiLevelType w:val="hybridMultilevel"/>
    <w:tmpl w:val="0D56FA28"/>
    <w:lvl w:ilvl="0" w:tplc="08160005">
      <w:start w:val="1"/>
      <w:numFmt w:val="bullet"/>
      <w:lvlText w:val=""/>
      <w:lvlJc w:val="left"/>
      <w:pPr>
        <w:ind w:left="793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5">
    <w:nsid w:val="62F17136"/>
    <w:multiLevelType w:val="hybridMultilevel"/>
    <w:tmpl w:val="DA6CDD7C"/>
    <w:lvl w:ilvl="0" w:tplc="277AC5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DCAA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E8C7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708D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A0F6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4612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FC4A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3ECD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629F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0606B3"/>
    <w:multiLevelType w:val="hybridMultilevel"/>
    <w:tmpl w:val="4566BB22"/>
    <w:lvl w:ilvl="0" w:tplc="08160005">
      <w:start w:val="1"/>
      <w:numFmt w:val="decimal"/>
      <w:lvlText w:val="2.%1."/>
      <w:lvlJc w:val="left"/>
      <w:pPr>
        <w:ind w:left="1146" w:hanging="360"/>
      </w:pPr>
      <w:rPr>
        <w:rFonts w:hint="default"/>
        <w:b/>
        <w:color w:val="4BACC6" w:themeColor="accent5"/>
      </w:rPr>
    </w:lvl>
    <w:lvl w:ilvl="1" w:tplc="08160003" w:tentative="1">
      <w:start w:val="1"/>
      <w:numFmt w:val="lowerLetter"/>
      <w:lvlText w:val="%2."/>
      <w:lvlJc w:val="left"/>
      <w:pPr>
        <w:ind w:left="1866" w:hanging="360"/>
      </w:pPr>
    </w:lvl>
    <w:lvl w:ilvl="2" w:tplc="08160005" w:tentative="1">
      <w:start w:val="1"/>
      <w:numFmt w:val="lowerRoman"/>
      <w:lvlText w:val="%3."/>
      <w:lvlJc w:val="right"/>
      <w:pPr>
        <w:ind w:left="2586" w:hanging="180"/>
      </w:pPr>
    </w:lvl>
    <w:lvl w:ilvl="3" w:tplc="08160001">
      <w:start w:val="1"/>
      <w:numFmt w:val="decimal"/>
      <w:lvlText w:val="%4."/>
      <w:lvlJc w:val="left"/>
      <w:pPr>
        <w:ind w:left="3306" w:hanging="360"/>
      </w:pPr>
    </w:lvl>
    <w:lvl w:ilvl="4" w:tplc="08160003" w:tentative="1">
      <w:start w:val="1"/>
      <w:numFmt w:val="lowerLetter"/>
      <w:lvlText w:val="%5."/>
      <w:lvlJc w:val="left"/>
      <w:pPr>
        <w:ind w:left="4026" w:hanging="360"/>
      </w:pPr>
    </w:lvl>
    <w:lvl w:ilvl="5" w:tplc="08160005" w:tentative="1">
      <w:start w:val="1"/>
      <w:numFmt w:val="lowerRoman"/>
      <w:lvlText w:val="%6."/>
      <w:lvlJc w:val="right"/>
      <w:pPr>
        <w:ind w:left="4746" w:hanging="180"/>
      </w:pPr>
    </w:lvl>
    <w:lvl w:ilvl="6" w:tplc="08160001" w:tentative="1">
      <w:start w:val="1"/>
      <w:numFmt w:val="decimal"/>
      <w:lvlText w:val="%7."/>
      <w:lvlJc w:val="left"/>
      <w:pPr>
        <w:ind w:left="5466" w:hanging="360"/>
      </w:pPr>
    </w:lvl>
    <w:lvl w:ilvl="7" w:tplc="08160003" w:tentative="1">
      <w:start w:val="1"/>
      <w:numFmt w:val="lowerLetter"/>
      <w:lvlText w:val="%8."/>
      <w:lvlJc w:val="left"/>
      <w:pPr>
        <w:ind w:left="6186" w:hanging="360"/>
      </w:pPr>
    </w:lvl>
    <w:lvl w:ilvl="8" w:tplc="08160005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>
    <w:nsid w:val="665232D1"/>
    <w:multiLevelType w:val="hybridMultilevel"/>
    <w:tmpl w:val="724AE4F4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C25B34"/>
    <w:multiLevelType w:val="hybridMultilevel"/>
    <w:tmpl w:val="73DC35DA"/>
    <w:lvl w:ilvl="0" w:tplc="581CAB04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8160019">
      <w:start w:val="1"/>
      <w:numFmt w:val="decimal"/>
      <w:lvlText w:val="2.%2."/>
      <w:lvlJc w:val="left"/>
      <w:pPr>
        <w:ind w:left="1495" w:hanging="360"/>
      </w:pPr>
      <w:rPr>
        <w:rFonts w:hint="default"/>
        <w:b/>
        <w:color w:val="4BACC6" w:themeColor="accent5"/>
      </w:rPr>
    </w:lvl>
    <w:lvl w:ilvl="2" w:tplc="0816001B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D644B6"/>
    <w:multiLevelType w:val="hybridMultilevel"/>
    <w:tmpl w:val="3D5A02FE"/>
    <w:lvl w:ilvl="0" w:tplc="0816000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81CAB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EE54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FA1DA9"/>
    <w:multiLevelType w:val="multilevel"/>
    <w:tmpl w:val="0816001D"/>
    <w:styleLink w:val="Estilo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1">
    <w:nsid w:val="68072844"/>
    <w:multiLevelType w:val="hybridMultilevel"/>
    <w:tmpl w:val="EC24E37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797BAC"/>
    <w:multiLevelType w:val="hybridMultilevel"/>
    <w:tmpl w:val="D2A6E56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29625A"/>
    <w:multiLevelType w:val="hybridMultilevel"/>
    <w:tmpl w:val="AA36542C"/>
    <w:lvl w:ilvl="0" w:tplc="08160005">
      <w:start w:val="1"/>
      <w:numFmt w:val="bullet"/>
      <w:lvlText w:val=""/>
      <w:lvlJc w:val="left"/>
      <w:pPr>
        <w:ind w:left="767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4">
    <w:nsid w:val="76BD7A70"/>
    <w:multiLevelType w:val="hybridMultilevel"/>
    <w:tmpl w:val="DFD22F32"/>
    <w:lvl w:ilvl="0" w:tplc="7F4AA7F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7104F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A41F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B02F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4854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7E25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460F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F6C2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8ACB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B60662C"/>
    <w:multiLevelType w:val="hybridMultilevel"/>
    <w:tmpl w:val="DBD04794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17109A"/>
    <w:multiLevelType w:val="hybridMultilevel"/>
    <w:tmpl w:val="1D884D7C"/>
    <w:lvl w:ilvl="0" w:tplc="08160005">
      <w:start w:val="1"/>
      <w:numFmt w:val="bullet"/>
      <w:lvlText w:val="­"/>
      <w:lvlJc w:val="left"/>
      <w:pPr>
        <w:ind w:left="19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40"/>
  </w:num>
  <w:num w:numId="13">
    <w:abstractNumId w:val="38"/>
  </w:num>
  <w:num w:numId="14">
    <w:abstractNumId w:val="24"/>
  </w:num>
  <w:num w:numId="15">
    <w:abstractNumId w:val="26"/>
  </w:num>
  <w:num w:numId="16">
    <w:abstractNumId w:val="19"/>
  </w:num>
  <w:num w:numId="17">
    <w:abstractNumId w:val="46"/>
  </w:num>
  <w:num w:numId="18">
    <w:abstractNumId w:val="45"/>
  </w:num>
  <w:num w:numId="19">
    <w:abstractNumId w:val="17"/>
  </w:num>
  <w:num w:numId="20">
    <w:abstractNumId w:val="15"/>
  </w:num>
  <w:num w:numId="21">
    <w:abstractNumId w:val="35"/>
  </w:num>
  <w:num w:numId="22">
    <w:abstractNumId w:val="20"/>
  </w:num>
  <w:num w:numId="23">
    <w:abstractNumId w:val="44"/>
  </w:num>
  <w:num w:numId="24">
    <w:abstractNumId w:val="11"/>
  </w:num>
  <w:num w:numId="25">
    <w:abstractNumId w:val="39"/>
  </w:num>
  <w:num w:numId="26">
    <w:abstractNumId w:val="31"/>
  </w:num>
  <w:num w:numId="27">
    <w:abstractNumId w:val="36"/>
  </w:num>
  <w:num w:numId="28">
    <w:abstractNumId w:val="23"/>
  </w:num>
  <w:num w:numId="29">
    <w:abstractNumId w:val="42"/>
  </w:num>
  <w:num w:numId="30">
    <w:abstractNumId w:val="30"/>
  </w:num>
  <w:num w:numId="31">
    <w:abstractNumId w:val="12"/>
  </w:num>
  <w:num w:numId="32">
    <w:abstractNumId w:val="27"/>
  </w:num>
  <w:num w:numId="33">
    <w:abstractNumId w:val="34"/>
  </w:num>
  <w:num w:numId="34">
    <w:abstractNumId w:val="18"/>
  </w:num>
  <w:num w:numId="35">
    <w:abstractNumId w:val="14"/>
  </w:num>
  <w:num w:numId="36">
    <w:abstractNumId w:val="37"/>
  </w:num>
  <w:num w:numId="37">
    <w:abstractNumId w:val="43"/>
  </w:num>
  <w:num w:numId="38">
    <w:abstractNumId w:val="21"/>
  </w:num>
  <w:num w:numId="39">
    <w:abstractNumId w:val="29"/>
  </w:num>
  <w:num w:numId="40">
    <w:abstractNumId w:val="33"/>
  </w:num>
  <w:num w:numId="41">
    <w:abstractNumId w:val="41"/>
  </w:num>
  <w:num w:numId="42">
    <w:abstractNumId w:val="28"/>
  </w:num>
  <w:num w:numId="43">
    <w:abstractNumId w:val="32"/>
  </w:num>
  <w:num w:numId="44">
    <w:abstractNumId w:val="13"/>
  </w:num>
  <w:num w:numId="45">
    <w:abstractNumId w:val="10"/>
  </w:num>
  <w:num w:numId="46">
    <w:abstractNumId w:val="25"/>
  </w:num>
  <w:num w:numId="47">
    <w:abstractNumId w:val="22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0EA"/>
    <w:rsid w:val="00000797"/>
    <w:rsid w:val="000022C7"/>
    <w:rsid w:val="00002C5D"/>
    <w:rsid w:val="00005205"/>
    <w:rsid w:val="00005EE6"/>
    <w:rsid w:val="00006595"/>
    <w:rsid w:val="00007541"/>
    <w:rsid w:val="00011C6F"/>
    <w:rsid w:val="00011E17"/>
    <w:rsid w:val="000120EA"/>
    <w:rsid w:val="00021379"/>
    <w:rsid w:val="00021F37"/>
    <w:rsid w:val="000220CB"/>
    <w:rsid w:val="00022A9A"/>
    <w:rsid w:val="00024BDA"/>
    <w:rsid w:val="00027382"/>
    <w:rsid w:val="00032134"/>
    <w:rsid w:val="00032C65"/>
    <w:rsid w:val="000337CD"/>
    <w:rsid w:val="0003434F"/>
    <w:rsid w:val="000350D4"/>
    <w:rsid w:val="00035E1E"/>
    <w:rsid w:val="00036F81"/>
    <w:rsid w:val="00037E38"/>
    <w:rsid w:val="00040219"/>
    <w:rsid w:val="00041591"/>
    <w:rsid w:val="0004226C"/>
    <w:rsid w:val="00042944"/>
    <w:rsid w:val="000434F6"/>
    <w:rsid w:val="000445E8"/>
    <w:rsid w:val="00044B18"/>
    <w:rsid w:val="00044C0E"/>
    <w:rsid w:val="00045A66"/>
    <w:rsid w:val="0004674A"/>
    <w:rsid w:val="00047045"/>
    <w:rsid w:val="00050BE8"/>
    <w:rsid w:val="0005249A"/>
    <w:rsid w:val="00052BEF"/>
    <w:rsid w:val="000548A8"/>
    <w:rsid w:val="0005753E"/>
    <w:rsid w:val="0005794A"/>
    <w:rsid w:val="00061AEE"/>
    <w:rsid w:val="0006265F"/>
    <w:rsid w:val="000632DA"/>
    <w:rsid w:val="00063C0A"/>
    <w:rsid w:val="000650F8"/>
    <w:rsid w:val="00065236"/>
    <w:rsid w:val="00065693"/>
    <w:rsid w:val="000674F6"/>
    <w:rsid w:val="00071588"/>
    <w:rsid w:val="0007388C"/>
    <w:rsid w:val="00074AD6"/>
    <w:rsid w:val="00075F0A"/>
    <w:rsid w:val="00077094"/>
    <w:rsid w:val="00077B4B"/>
    <w:rsid w:val="00077E87"/>
    <w:rsid w:val="0008060F"/>
    <w:rsid w:val="00082242"/>
    <w:rsid w:val="00082F31"/>
    <w:rsid w:val="0008474F"/>
    <w:rsid w:val="000847CB"/>
    <w:rsid w:val="00084C1E"/>
    <w:rsid w:val="00086207"/>
    <w:rsid w:val="0008620D"/>
    <w:rsid w:val="00094D24"/>
    <w:rsid w:val="00095A7D"/>
    <w:rsid w:val="000961F2"/>
    <w:rsid w:val="00096447"/>
    <w:rsid w:val="000966F4"/>
    <w:rsid w:val="00097AE1"/>
    <w:rsid w:val="000A109C"/>
    <w:rsid w:val="000A3977"/>
    <w:rsid w:val="000A456D"/>
    <w:rsid w:val="000A45EB"/>
    <w:rsid w:val="000A5293"/>
    <w:rsid w:val="000A60A5"/>
    <w:rsid w:val="000B20CD"/>
    <w:rsid w:val="000B297D"/>
    <w:rsid w:val="000B37E6"/>
    <w:rsid w:val="000B3DA1"/>
    <w:rsid w:val="000B59A6"/>
    <w:rsid w:val="000B6D60"/>
    <w:rsid w:val="000B721B"/>
    <w:rsid w:val="000B74CF"/>
    <w:rsid w:val="000B7C62"/>
    <w:rsid w:val="000C1688"/>
    <w:rsid w:val="000C1C90"/>
    <w:rsid w:val="000C238C"/>
    <w:rsid w:val="000C259E"/>
    <w:rsid w:val="000C3421"/>
    <w:rsid w:val="000C399B"/>
    <w:rsid w:val="000C4C15"/>
    <w:rsid w:val="000C609E"/>
    <w:rsid w:val="000C7A80"/>
    <w:rsid w:val="000D1493"/>
    <w:rsid w:val="000D18A0"/>
    <w:rsid w:val="000D1EAF"/>
    <w:rsid w:val="000D404E"/>
    <w:rsid w:val="000D4226"/>
    <w:rsid w:val="000D563F"/>
    <w:rsid w:val="000D6327"/>
    <w:rsid w:val="000D669F"/>
    <w:rsid w:val="000D692E"/>
    <w:rsid w:val="000D7502"/>
    <w:rsid w:val="000D75C8"/>
    <w:rsid w:val="000E01D1"/>
    <w:rsid w:val="000E15A0"/>
    <w:rsid w:val="000E2863"/>
    <w:rsid w:val="000E4E77"/>
    <w:rsid w:val="000E5761"/>
    <w:rsid w:val="000E7B7D"/>
    <w:rsid w:val="000F0302"/>
    <w:rsid w:val="000F451F"/>
    <w:rsid w:val="000F452E"/>
    <w:rsid w:val="000F54C8"/>
    <w:rsid w:val="000F5D49"/>
    <w:rsid w:val="000F65AD"/>
    <w:rsid w:val="000F7A8F"/>
    <w:rsid w:val="00101D3A"/>
    <w:rsid w:val="00102E48"/>
    <w:rsid w:val="001044FE"/>
    <w:rsid w:val="00110C49"/>
    <w:rsid w:val="00112B45"/>
    <w:rsid w:val="001142CC"/>
    <w:rsid w:val="0011462B"/>
    <w:rsid w:val="00114DD1"/>
    <w:rsid w:val="00120020"/>
    <w:rsid w:val="001209BF"/>
    <w:rsid w:val="00123BC0"/>
    <w:rsid w:val="001240C7"/>
    <w:rsid w:val="00124A22"/>
    <w:rsid w:val="00125091"/>
    <w:rsid w:val="00130E7E"/>
    <w:rsid w:val="0013511A"/>
    <w:rsid w:val="0013726D"/>
    <w:rsid w:val="00140E6F"/>
    <w:rsid w:val="00140F45"/>
    <w:rsid w:val="001413AA"/>
    <w:rsid w:val="00142268"/>
    <w:rsid w:val="0014284B"/>
    <w:rsid w:val="0014291C"/>
    <w:rsid w:val="00145107"/>
    <w:rsid w:val="00150A8D"/>
    <w:rsid w:val="00151238"/>
    <w:rsid w:val="0015371D"/>
    <w:rsid w:val="001617B4"/>
    <w:rsid w:val="00161D29"/>
    <w:rsid w:val="001636EF"/>
    <w:rsid w:val="00163BE5"/>
    <w:rsid w:val="0016431C"/>
    <w:rsid w:val="00165956"/>
    <w:rsid w:val="00165EBA"/>
    <w:rsid w:val="001708F7"/>
    <w:rsid w:val="00173378"/>
    <w:rsid w:val="00173870"/>
    <w:rsid w:val="00174AC6"/>
    <w:rsid w:val="0017527E"/>
    <w:rsid w:val="00175984"/>
    <w:rsid w:val="001765A2"/>
    <w:rsid w:val="001769F2"/>
    <w:rsid w:val="00181725"/>
    <w:rsid w:val="00181816"/>
    <w:rsid w:val="001825CA"/>
    <w:rsid w:val="00182B13"/>
    <w:rsid w:val="00184BB2"/>
    <w:rsid w:val="00185748"/>
    <w:rsid w:val="001866A2"/>
    <w:rsid w:val="0018721A"/>
    <w:rsid w:val="00187370"/>
    <w:rsid w:val="00190EE4"/>
    <w:rsid w:val="00194B92"/>
    <w:rsid w:val="0019507D"/>
    <w:rsid w:val="00195E4B"/>
    <w:rsid w:val="00197ADA"/>
    <w:rsid w:val="00197D45"/>
    <w:rsid w:val="001A12F2"/>
    <w:rsid w:val="001A1C20"/>
    <w:rsid w:val="001A1C57"/>
    <w:rsid w:val="001A1E74"/>
    <w:rsid w:val="001A1FD9"/>
    <w:rsid w:val="001A206C"/>
    <w:rsid w:val="001A62D2"/>
    <w:rsid w:val="001A7E62"/>
    <w:rsid w:val="001B1554"/>
    <w:rsid w:val="001B376D"/>
    <w:rsid w:val="001B391F"/>
    <w:rsid w:val="001B4CEE"/>
    <w:rsid w:val="001B50B5"/>
    <w:rsid w:val="001B5607"/>
    <w:rsid w:val="001B7127"/>
    <w:rsid w:val="001B7668"/>
    <w:rsid w:val="001C3B41"/>
    <w:rsid w:val="001C54A5"/>
    <w:rsid w:val="001C7826"/>
    <w:rsid w:val="001D0A10"/>
    <w:rsid w:val="001D18B9"/>
    <w:rsid w:val="001D1EA9"/>
    <w:rsid w:val="001D374B"/>
    <w:rsid w:val="001D46E9"/>
    <w:rsid w:val="001D5D90"/>
    <w:rsid w:val="001E5168"/>
    <w:rsid w:val="001E6013"/>
    <w:rsid w:val="001E7BBD"/>
    <w:rsid w:val="001F0185"/>
    <w:rsid w:val="001F0DA9"/>
    <w:rsid w:val="001F272C"/>
    <w:rsid w:val="001F3A79"/>
    <w:rsid w:val="001F3B7E"/>
    <w:rsid w:val="001F50E6"/>
    <w:rsid w:val="001F7B12"/>
    <w:rsid w:val="001F7DC3"/>
    <w:rsid w:val="0020080F"/>
    <w:rsid w:val="002010BC"/>
    <w:rsid w:val="00203AFD"/>
    <w:rsid w:val="002045B7"/>
    <w:rsid w:val="00204B50"/>
    <w:rsid w:val="00206B26"/>
    <w:rsid w:val="0021056C"/>
    <w:rsid w:val="0021090C"/>
    <w:rsid w:val="0021288D"/>
    <w:rsid w:val="00212961"/>
    <w:rsid w:val="00213115"/>
    <w:rsid w:val="00213577"/>
    <w:rsid w:val="002137C5"/>
    <w:rsid w:val="00213F7E"/>
    <w:rsid w:val="00217021"/>
    <w:rsid w:val="00217372"/>
    <w:rsid w:val="00217B3E"/>
    <w:rsid w:val="00220255"/>
    <w:rsid w:val="0022061A"/>
    <w:rsid w:val="00220D1F"/>
    <w:rsid w:val="00223A36"/>
    <w:rsid w:val="002240EF"/>
    <w:rsid w:val="002241B0"/>
    <w:rsid w:val="0022499D"/>
    <w:rsid w:val="0022538A"/>
    <w:rsid w:val="002279CF"/>
    <w:rsid w:val="00230C4C"/>
    <w:rsid w:val="00232BDA"/>
    <w:rsid w:val="00233283"/>
    <w:rsid w:val="00234B52"/>
    <w:rsid w:val="00234DE4"/>
    <w:rsid w:val="00235295"/>
    <w:rsid w:val="00235B65"/>
    <w:rsid w:val="00236F70"/>
    <w:rsid w:val="00237DDD"/>
    <w:rsid w:val="002406EA"/>
    <w:rsid w:val="00240F09"/>
    <w:rsid w:val="002419A7"/>
    <w:rsid w:val="00241A12"/>
    <w:rsid w:val="002431D9"/>
    <w:rsid w:val="00245894"/>
    <w:rsid w:val="00247DC8"/>
    <w:rsid w:val="00247F6D"/>
    <w:rsid w:val="00247FA2"/>
    <w:rsid w:val="00250AAD"/>
    <w:rsid w:val="002525F7"/>
    <w:rsid w:val="002543CD"/>
    <w:rsid w:val="00254EE7"/>
    <w:rsid w:val="00255ABF"/>
    <w:rsid w:val="00255DAE"/>
    <w:rsid w:val="00256E39"/>
    <w:rsid w:val="00257574"/>
    <w:rsid w:val="00261692"/>
    <w:rsid w:val="00261D3C"/>
    <w:rsid w:val="00264F68"/>
    <w:rsid w:val="00265AB3"/>
    <w:rsid w:val="00265D63"/>
    <w:rsid w:val="002661A5"/>
    <w:rsid w:val="002664E2"/>
    <w:rsid w:val="00274ABD"/>
    <w:rsid w:val="00275A7C"/>
    <w:rsid w:val="00275CDE"/>
    <w:rsid w:val="002775E1"/>
    <w:rsid w:val="00281566"/>
    <w:rsid w:val="00281A5C"/>
    <w:rsid w:val="00281ED0"/>
    <w:rsid w:val="0028293C"/>
    <w:rsid w:val="00282C0B"/>
    <w:rsid w:val="00284D82"/>
    <w:rsid w:val="00285A9F"/>
    <w:rsid w:val="00291F76"/>
    <w:rsid w:val="00293AF7"/>
    <w:rsid w:val="00295DB1"/>
    <w:rsid w:val="0029692E"/>
    <w:rsid w:val="002A1846"/>
    <w:rsid w:val="002A3DB8"/>
    <w:rsid w:val="002A44B5"/>
    <w:rsid w:val="002A539E"/>
    <w:rsid w:val="002A6F6F"/>
    <w:rsid w:val="002B12D4"/>
    <w:rsid w:val="002B287B"/>
    <w:rsid w:val="002B368A"/>
    <w:rsid w:val="002B53ED"/>
    <w:rsid w:val="002B6BA7"/>
    <w:rsid w:val="002B6DB7"/>
    <w:rsid w:val="002B706D"/>
    <w:rsid w:val="002C104F"/>
    <w:rsid w:val="002C473C"/>
    <w:rsid w:val="002D1ABA"/>
    <w:rsid w:val="002D41AC"/>
    <w:rsid w:val="002D4996"/>
    <w:rsid w:val="002E04CF"/>
    <w:rsid w:val="002E08BF"/>
    <w:rsid w:val="002E0933"/>
    <w:rsid w:val="002E1040"/>
    <w:rsid w:val="002E257B"/>
    <w:rsid w:val="002E6099"/>
    <w:rsid w:val="002E6CFF"/>
    <w:rsid w:val="002F08B5"/>
    <w:rsid w:val="002F1FDB"/>
    <w:rsid w:val="002F2A38"/>
    <w:rsid w:val="002F3677"/>
    <w:rsid w:val="002F4805"/>
    <w:rsid w:val="002F56DA"/>
    <w:rsid w:val="002F62CC"/>
    <w:rsid w:val="003005C0"/>
    <w:rsid w:val="00301ADA"/>
    <w:rsid w:val="00303052"/>
    <w:rsid w:val="00304ABF"/>
    <w:rsid w:val="00305028"/>
    <w:rsid w:val="003068C9"/>
    <w:rsid w:val="003150BC"/>
    <w:rsid w:val="0031520C"/>
    <w:rsid w:val="00315264"/>
    <w:rsid w:val="003157E1"/>
    <w:rsid w:val="003223A7"/>
    <w:rsid w:val="00322AE4"/>
    <w:rsid w:val="00327B48"/>
    <w:rsid w:val="0033131D"/>
    <w:rsid w:val="00331937"/>
    <w:rsid w:val="003327D9"/>
    <w:rsid w:val="00332F4A"/>
    <w:rsid w:val="003336CF"/>
    <w:rsid w:val="00333A79"/>
    <w:rsid w:val="003348CC"/>
    <w:rsid w:val="0033749B"/>
    <w:rsid w:val="00340F94"/>
    <w:rsid w:val="00341FEF"/>
    <w:rsid w:val="003500E5"/>
    <w:rsid w:val="00350695"/>
    <w:rsid w:val="00352AA7"/>
    <w:rsid w:val="00357856"/>
    <w:rsid w:val="00357D73"/>
    <w:rsid w:val="00357D7D"/>
    <w:rsid w:val="003610EC"/>
    <w:rsid w:val="00361671"/>
    <w:rsid w:val="0036205E"/>
    <w:rsid w:val="0036268C"/>
    <w:rsid w:val="003641EA"/>
    <w:rsid w:val="00364BBB"/>
    <w:rsid w:val="00370A9C"/>
    <w:rsid w:val="0037134B"/>
    <w:rsid w:val="00371361"/>
    <w:rsid w:val="00371608"/>
    <w:rsid w:val="003763D5"/>
    <w:rsid w:val="0037701F"/>
    <w:rsid w:val="00380D02"/>
    <w:rsid w:val="00381614"/>
    <w:rsid w:val="003828B8"/>
    <w:rsid w:val="00382C10"/>
    <w:rsid w:val="0038596A"/>
    <w:rsid w:val="00385C0B"/>
    <w:rsid w:val="003872EE"/>
    <w:rsid w:val="003878DD"/>
    <w:rsid w:val="003901C1"/>
    <w:rsid w:val="0039315C"/>
    <w:rsid w:val="00393568"/>
    <w:rsid w:val="00393592"/>
    <w:rsid w:val="00394116"/>
    <w:rsid w:val="003949CB"/>
    <w:rsid w:val="0039569C"/>
    <w:rsid w:val="00396CB3"/>
    <w:rsid w:val="00397C1F"/>
    <w:rsid w:val="00397FF3"/>
    <w:rsid w:val="003A0461"/>
    <w:rsid w:val="003A080D"/>
    <w:rsid w:val="003A1409"/>
    <w:rsid w:val="003A1A31"/>
    <w:rsid w:val="003A1E9E"/>
    <w:rsid w:val="003A2A1B"/>
    <w:rsid w:val="003A31DE"/>
    <w:rsid w:val="003A3BCA"/>
    <w:rsid w:val="003A596A"/>
    <w:rsid w:val="003A62C6"/>
    <w:rsid w:val="003A6321"/>
    <w:rsid w:val="003A66C6"/>
    <w:rsid w:val="003A6C0B"/>
    <w:rsid w:val="003A7BF7"/>
    <w:rsid w:val="003B0B51"/>
    <w:rsid w:val="003B247B"/>
    <w:rsid w:val="003B2AB1"/>
    <w:rsid w:val="003B340E"/>
    <w:rsid w:val="003B5838"/>
    <w:rsid w:val="003C0079"/>
    <w:rsid w:val="003C0161"/>
    <w:rsid w:val="003C0A68"/>
    <w:rsid w:val="003C1750"/>
    <w:rsid w:val="003C1FB5"/>
    <w:rsid w:val="003C2E2C"/>
    <w:rsid w:val="003C3AFD"/>
    <w:rsid w:val="003C56DC"/>
    <w:rsid w:val="003C6BD2"/>
    <w:rsid w:val="003D0FB6"/>
    <w:rsid w:val="003D370C"/>
    <w:rsid w:val="003D44D4"/>
    <w:rsid w:val="003D716A"/>
    <w:rsid w:val="003E10B8"/>
    <w:rsid w:val="003E281D"/>
    <w:rsid w:val="003E2D76"/>
    <w:rsid w:val="003E2F6A"/>
    <w:rsid w:val="003E4060"/>
    <w:rsid w:val="003E4BE7"/>
    <w:rsid w:val="003F1385"/>
    <w:rsid w:val="003F1F85"/>
    <w:rsid w:val="003F2361"/>
    <w:rsid w:val="003F2A45"/>
    <w:rsid w:val="003F3AEA"/>
    <w:rsid w:val="003F4B87"/>
    <w:rsid w:val="003F5D93"/>
    <w:rsid w:val="003F614E"/>
    <w:rsid w:val="003F63CE"/>
    <w:rsid w:val="003F66D4"/>
    <w:rsid w:val="003F77C3"/>
    <w:rsid w:val="004040F4"/>
    <w:rsid w:val="00404AFC"/>
    <w:rsid w:val="00405431"/>
    <w:rsid w:val="00407215"/>
    <w:rsid w:val="0040763D"/>
    <w:rsid w:val="00407A13"/>
    <w:rsid w:val="00410147"/>
    <w:rsid w:val="004106B9"/>
    <w:rsid w:val="00410F7F"/>
    <w:rsid w:val="00414BA9"/>
    <w:rsid w:val="004150F3"/>
    <w:rsid w:val="004202CA"/>
    <w:rsid w:val="004205D5"/>
    <w:rsid w:val="00420A00"/>
    <w:rsid w:val="0042238D"/>
    <w:rsid w:val="00423BF5"/>
    <w:rsid w:val="0043053E"/>
    <w:rsid w:val="00431F69"/>
    <w:rsid w:val="004326B3"/>
    <w:rsid w:val="00432DA9"/>
    <w:rsid w:val="00433675"/>
    <w:rsid w:val="00437551"/>
    <w:rsid w:val="004401D8"/>
    <w:rsid w:val="00440335"/>
    <w:rsid w:val="0044531E"/>
    <w:rsid w:val="004455D6"/>
    <w:rsid w:val="0045164E"/>
    <w:rsid w:val="00451C31"/>
    <w:rsid w:val="00453652"/>
    <w:rsid w:val="004556E0"/>
    <w:rsid w:val="00457A21"/>
    <w:rsid w:val="00461AF7"/>
    <w:rsid w:val="00462DD0"/>
    <w:rsid w:val="00464772"/>
    <w:rsid w:val="004648B8"/>
    <w:rsid w:val="0046639D"/>
    <w:rsid w:val="00466F88"/>
    <w:rsid w:val="00467B5E"/>
    <w:rsid w:val="00471E9F"/>
    <w:rsid w:val="00472328"/>
    <w:rsid w:val="004735C5"/>
    <w:rsid w:val="00473DBE"/>
    <w:rsid w:val="004758AE"/>
    <w:rsid w:val="0047713C"/>
    <w:rsid w:val="004808A3"/>
    <w:rsid w:val="00480BED"/>
    <w:rsid w:val="00483440"/>
    <w:rsid w:val="004839E7"/>
    <w:rsid w:val="00483B31"/>
    <w:rsid w:val="0048461A"/>
    <w:rsid w:val="00485C5D"/>
    <w:rsid w:val="004903EE"/>
    <w:rsid w:val="0049277C"/>
    <w:rsid w:val="0049311B"/>
    <w:rsid w:val="00497D67"/>
    <w:rsid w:val="004A0208"/>
    <w:rsid w:val="004A0997"/>
    <w:rsid w:val="004A11B8"/>
    <w:rsid w:val="004A1332"/>
    <w:rsid w:val="004A181A"/>
    <w:rsid w:val="004A31B9"/>
    <w:rsid w:val="004A3E39"/>
    <w:rsid w:val="004A4BB8"/>
    <w:rsid w:val="004A52F4"/>
    <w:rsid w:val="004A772E"/>
    <w:rsid w:val="004B0A66"/>
    <w:rsid w:val="004B0FFF"/>
    <w:rsid w:val="004B180D"/>
    <w:rsid w:val="004B364F"/>
    <w:rsid w:val="004B377D"/>
    <w:rsid w:val="004B5254"/>
    <w:rsid w:val="004B5FC8"/>
    <w:rsid w:val="004C1714"/>
    <w:rsid w:val="004C1AE5"/>
    <w:rsid w:val="004C3389"/>
    <w:rsid w:val="004C6C12"/>
    <w:rsid w:val="004C70D2"/>
    <w:rsid w:val="004D15A1"/>
    <w:rsid w:val="004D16EF"/>
    <w:rsid w:val="004D3245"/>
    <w:rsid w:val="004D4516"/>
    <w:rsid w:val="004D71AA"/>
    <w:rsid w:val="004E1768"/>
    <w:rsid w:val="004E214D"/>
    <w:rsid w:val="004E35B5"/>
    <w:rsid w:val="004E4505"/>
    <w:rsid w:val="004E485B"/>
    <w:rsid w:val="004E7278"/>
    <w:rsid w:val="004F0986"/>
    <w:rsid w:val="004F3E9E"/>
    <w:rsid w:val="004F4ED6"/>
    <w:rsid w:val="004F6799"/>
    <w:rsid w:val="004F6EFF"/>
    <w:rsid w:val="004F7727"/>
    <w:rsid w:val="00500F90"/>
    <w:rsid w:val="0050173C"/>
    <w:rsid w:val="005065E1"/>
    <w:rsid w:val="00506F20"/>
    <w:rsid w:val="00506F49"/>
    <w:rsid w:val="005131F1"/>
    <w:rsid w:val="00513CE7"/>
    <w:rsid w:val="00514EFE"/>
    <w:rsid w:val="00515E50"/>
    <w:rsid w:val="00517846"/>
    <w:rsid w:val="005237D8"/>
    <w:rsid w:val="00523B5A"/>
    <w:rsid w:val="00524F0E"/>
    <w:rsid w:val="005270F4"/>
    <w:rsid w:val="00527A9B"/>
    <w:rsid w:val="005318EC"/>
    <w:rsid w:val="005322C9"/>
    <w:rsid w:val="00533DFF"/>
    <w:rsid w:val="00533E8F"/>
    <w:rsid w:val="00534606"/>
    <w:rsid w:val="00534B63"/>
    <w:rsid w:val="005376FC"/>
    <w:rsid w:val="00540298"/>
    <w:rsid w:val="00541977"/>
    <w:rsid w:val="00543093"/>
    <w:rsid w:val="00543114"/>
    <w:rsid w:val="00546517"/>
    <w:rsid w:val="00546953"/>
    <w:rsid w:val="00546E0B"/>
    <w:rsid w:val="00547D0D"/>
    <w:rsid w:val="00550908"/>
    <w:rsid w:val="0055159D"/>
    <w:rsid w:val="005547DD"/>
    <w:rsid w:val="00554D8B"/>
    <w:rsid w:val="00556FDD"/>
    <w:rsid w:val="00560923"/>
    <w:rsid w:val="00564862"/>
    <w:rsid w:val="00566150"/>
    <w:rsid w:val="005669F5"/>
    <w:rsid w:val="00572421"/>
    <w:rsid w:val="005735BA"/>
    <w:rsid w:val="0057500E"/>
    <w:rsid w:val="00576421"/>
    <w:rsid w:val="00577CAC"/>
    <w:rsid w:val="00581874"/>
    <w:rsid w:val="00581B54"/>
    <w:rsid w:val="005830E3"/>
    <w:rsid w:val="00585C84"/>
    <w:rsid w:val="005869E3"/>
    <w:rsid w:val="0058782D"/>
    <w:rsid w:val="00587AA0"/>
    <w:rsid w:val="005958A2"/>
    <w:rsid w:val="00596BF1"/>
    <w:rsid w:val="00597CE6"/>
    <w:rsid w:val="005A043A"/>
    <w:rsid w:val="005A065C"/>
    <w:rsid w:val="005A0755"/>
    <w:rsid w:val="005A126C"/>
    <w:rsid w:val="005A1A9E"/>
    <w:rsid w:val="005A1B9C"/>
    <w:rsid w:val="005A22D4"/>
    <w:rsid w:val="005A2797"/>
    <w:rsid w:val="005A2F34"/>
    <w:rsid w:val="005A2F45"/>
    <w:rsid w:val="005A397E"/>
    <w:rsid w:val="005A47F8"/>
    <w:rsid w:val="005A57D1"/>
    <w:rsid w:val="005A7F34"/>
    <w:rsid w:val="005B3F8A"/>
    <w:rsid w:val="005B6B2B"/>
    <w:rsid w:val="005B70B3"/>
    <w:rsid w:val="005C11F7"/>
    <w:rsid w:val="005C384B"/>
    <w:rsid w:val="005C61F8"/>
    <w:rsid w:val="005C7E72"/>
    <w:rsid w:val="005D180D"/>
    <w:rsid w:val="005D32E7"/>
    <w:rsid w:val="005E0546"/>
    <w:rsid w:val="005E0AA2"/>
    <w:rsid w:val="005E18F3"/>
    <w:rsid w:val="005E19D2"/>
    <w:rsid w:val="005E22C5"/>
    <w:rsid w:val="005E3EA7"/>
    <w:rsid w:val="005E449B"/>
    <w:rsid w:val="005E4CD7"/>
    <w:rsid w:val="005F2E16"/>
    <w:rsid w:val="005F3AAB"/>
    <w:rsid w:val="006002A9"/>
    <w:rsid w:val="006023D9"/>
    <w:rsid w:val="0060266F"/>
    <w:rsid w:val="00602EC7"/>
    <w:rsid w:val="006034B0"/>
    <w:rsid w:val="006051D4"/>
    <w:rsid w:val="006057DC"/>
    <w:rsid w:val="0061186A"/>
    <w:rsid w:val="006136D0"/>
    <w:rsid w:val="00613FAF"/>
    <w:rsid w:val="00614214"/>
    <w:rsid w:val="00617017"/>
    <w:rsid w:val="006213CC"/>
    <w:rsid w:val="006220C0"/>
    <w:rsid w:val="00622664"/>
    <w:rsid w:val="00622CE5"/>
    <w:rsid w:val="006242D2"/>
    <w:rsid w:val="00625434"/>
    <w:rsid w:val="006259B2"/>
    <w:rsid w:val="00626B9E"/>
    <w:rsid w:val="00626C83"/>
    <w:rsid w:val="00627253"/>
    <w:rsid w:val="00630098"/>
    <w:rsid w:val="00632EB1"/>
    <w:rsid w:val="0063362D"/>
    <w:rsid w:val="0063458D"/>
    <w:rsid w:val="00635BBD"/>
    <w:rsid w:val="00635F39"/>
    <w:rsid w:val="006366BA"/>
    <w:rsid w:val="00644640"/>
    <w:rsid w:val="0064474C"/>
    <w:rsid w:val="00646732"/>
    <w:rsid w:val="006469BF"/>
    <w:rsid w:val="0064700A"/>
    <w:rsid w:val="006502C4"/>
    <w:rsid w:val="00651640"/>
    <w:rsid w:val="00653969"/>
    <w:rsid w:val="00655848"/>
    <w:rsid w:val="00657051"/>
    <w:rsid w:val="00660242"/>
    <w:rsid w:val="00660918"/>
    <w:rsid w:val="0066485B"/>
    <w:rsid w:val="006666EC"/>
    <w:rsid w:val="00666D32"/>
    <w:rsid w:val="006700EA"/>
    <w:rsid w:val="00670141"/>
    <w:rsid w:val="006713DB"/>
    <w:rsid w:val="00673B98"/>
    <w:rsid w:val="00676894"/>
    <w:rsid w:val="00676935"/>
    <w:rsid w:val="006770AB"/>
    <w:rsid w:val="00681C69"/>
    <w:rsid w:val="006820AA"/>
    <w:rsid w:val="00682EC7"/>
    <w:rsid w:val="00684232"/>
    <w:rsid w:val="0068561E"/>
    <w:rsid w:val="006869DA"/>
    <w:rsid w:val="00686F94"/>
    <w:rsid w:val="0068708D"/>
    <w:rsid w:val="006908A8"/>
    <w:rsid w:val="00692291"/>
    <w:rsid w:val="00692C68"/>
    <w:rsid w:val="00697419"/>
    <w:rsid w:val="006A08BF"/>
    <w:rsid w:val="006A2489"/>
    <w:rsid w:val="006A4CB5"/>
    <w:rsid w:val="006A6447"/>
    <w:rsid w:val="006B08BC"/>
    <w:rsid w:val="006B134C"/>
    <w:rsid w:val="006B761E"/>
    <w:rsid w:val="006B7892"/>
    <w:rsid w:val="006B7C6F"/>
    <w:rsid w:val="006C0276"/>
    <w:rsid w:val="006C1193"/>
    <w:rsid w:val="006C1833"/>
    <w:rsid w:val="006C31A7"/>
    <w:rsid w:val="006C3D91"/>
    <w:rsid w:val="006C42DC"/>
    <w:rsid w:val="006C5D4F"/>
    <w:rsid w:val="006D1A96"/>
    <w:rsid w:val="006D2D48"/>
    <w:rsid w:val="006D31EE"/>
    <w:rsid w:val="006D476A"/>
    <w:rsid w:val="006E01CB"/>
    <w:rsid w:val="006E2584"/>
    <w:rsid w:val="006E349A"/>
    <w:rsid w:val="006E44B2"/>
    <w:rsid w:val="006E5335"/>
    <w:rsid w:val="006E7748"/>
    <w:rsid w:val="006F32E5"/>
    <w:rsid w:val="006F3AF3"/>
    <w:rsid w:val="006F67B4"/>
    <w:rsid w:val="0070097A"/>
    <w:rsid w:val="00700BC1"/>
    <w:rsid w:val="00702B81"/>
    <w:rsid w:val="007050C0"/>
    <w:rsid w:val="0070594E"/>
    <w:rsid w:val="0070795E"/>
    <w:rsid w:val="007101CB"/>
    <w:rsid w:val="00710EBB"/>
    <w:rsid w:val="00714075"/>
    <w:rsid w:val="0071764F"/>
    <w:rsid w:val="007203ED"/>
    <w:rsid w:val="00720D2C"/>
    <w:rsid w:val="0072131B"/>
    <w:rsid w:val="00725D42"/>
    <w:rsid w:val="00725F7A"/>
    <w:rsid w:val="007267E2"/>
    <w:rsid w:val="00730C7A"/>
    <w:rsid w:val="00731584"/>
    <w:rsid w:val="00734767"/>
    <w:rsid w:val="00734A6A"/>
    <w:rsid w:val="007352BE"/>
    <w:rsid w:val="0073675E"/>
    <w:rsid w:val="007424FD"/>
    <w:rsid w:val="00742D4D"/>
    <w:rsid w:val="0074515B"/>
    <w:rsid w:val="00745F30"/>
    <w:rsid w:val="0074740B"/>
    <w:rsid w:val="00750279"/>
    <w:rsid w:val="0075214B"/>
    <w:rsid w:val="007525F4"/>
    <w:rsid w:val="00760F2E"/>
    <w:rsid w:val="00764BE3"/>
    <w:rsid w:val="00766AF0"/>
    <w:rsid w:val="00767038"/>
    <w:rsid w:val="00773BFF"/>
    <w:rsid w:val="00774A60"/>
    <w:rsid w:val="007750E6"/>
    <w:rsid w:val="00776757"/>
    <w:rsid w:val="00777C15"/>
    <w:rsid w:val="00783AA5"/>
    <w:rsid w:val="00784145"/>
    <w:rsid w:val="007857E7"/>
    <w:rsid w:val="00785D88"/>
    <w:rsid w:val="00792C09"/>
    <w:rsid w:val="0079342A"/>
    <w:rsid w:val="00795FF4"/>
    <w:rsid w:val="0079674E"/>
    <w:rsid w:val="00796862"/>
    <w:rsid w:val="00797882"/>
    <w:rsid w:val="00797C46"/>
    <w:rsid w:val="007A10FF"/>
    <w:rsid w:val="007A147B"/>
    <w:rsid w:val="007A303D"/>
    <w:rsid w:val="007A3D5D"/>
    <w:rsid w:val="007A5360"/>
    <w:rsid w:val="007A697B"/>
    <w:rsid w:val="007A6BF3"/>
    <w:rsid w:val="007B1565"/>
    <w:rsid w:val="007B4853"/>
    <w:rsid w:val="007B57FD"/>
    <w:rsid w:val="007B773C"/>
    <w:rsid w:val="007B7FFB"/>
    <w:rsid w:val="007C0BF0"/>
    <w:rsid w:val="007C251A"/>
    <w:rsid w:val="007C3F14"/>
    <w:rsid w:val="007C44CE"/>
    <w:rsid w:val="007C481B"/>
    <w:rsid w:val="007C51EA"/>
    <w:rsid w:val="007C5A14"/>
    <w:rsid w:val="007C5C8E"/>
    <w:rsid w:val="007D1279"/>
    <w:rsid w:val="007E14B6"/>
    <w:rsid w:val="007E3DF5"/>
    <w:rsid w:val="007E60C8"/>
    <w:rsid w:val="007E6BAA"/>
    <w:rsid w:val="007F0492"/>
    <w:rsid w:val="007F1104"/>
    <w:rsid w:val="007F2404"/>
    <w:rsid w:val="007F6214"/>
    <w:rsid w:val="007F6B20"/>
    <w:rsid w:val="00801FAE"/>
    <w:rsid w:val="00803348"/>
    <w:rsid w:val="008034FA"/>
    <w:rsid w:val="00806401"/>
    <w:rsid w:val="0081003F"/>
    <w:rsid w:val="00810904"/>
    <w:rsid w:val="008118C7"/>
    <w:rsid w:val="00812411"/>
    <w:rsid w:val="00812877"/>
    <w:rsid w:val="00814E13"/>
    <w:rsid w:val="00816A42"/>
    <w:rsid w:val="00822A17"/>
    <w:rsid w:val="0082303A"/>
    <w:rsid w:val="008251B2"/>
    <w:rsid w:val="008277C0"/>
    <w:rsid w:val="0083346E"/>
    <w:rsid w:val="00833F66"/>
    <w:rsid w:val="00835F9B"/>
    <w:rsid w:val="00836234"/>
    <w:rsid w:val="008369C2"/>
    <w:rsid w:val="00837275"/>
    <w:rsid w:val="00837492"/>
    <w:rsid w:val="00842263"/>
    <w:rsid w:val="00842B0A"/>
    <w:rsid w:val="00842C54"/>
    <w:rsid w:val="0084675F"/>
    <w:rsid w:val="00846876"/>
    <w:rsid w:val="00846AF7"/>
    <w:rsid w:val="00846BAF"/>
    <w:rsid w:val="00847498"/>
    <w:rsid w:val="00850064"/>
    <w:rsid w:val="00850728"/>
    <w:rsid w:val="00850CB1"/>
    <w:rsid w:val="00850D89"/>
    <w:rsid w:val="008517F4"/>
    <w:rsid w:val="00852D05"/>
    <w:rsid w:val="0085401E"/>
    <w:rsid w:val="008545CC"/>
    <w:rsid w:val="0085555C"/>
    <w:rsid w:val="008569C4"/>
    <w:rsid w:val="00860A42"/>
    <w:rsid w:val="00861583"/>
    <w:rsid w:val="008621BE"/>
    <w:rsid w:val="0086223E"/>
    <w:rsid w:val="008660BB"/>
    <w:rsid w:val="008677C9"/>
    <w:rsid w:val="00870990"/>
    <w:rsid w:val="0087287A"/>
    <w:rsid w:val="008732D9"/>
    <w:rsid w:val="00873928"/>
    <w:rsid w:val="008747F9"/>
    <w:rsid w:val="008748CF"/>
    <w:rsid w:val="008767AF"/>
    <w:rsid w:val="008820DF"/>
    <w:rsid w:val="00885A2B"/>
    <w:rsid w:val="00891AC8"/>
    <w:rsid w:val="0089376B"/>
    <w:rsid w:val="00894726"/>
    <w:rsid w:val="00897EF2"/>
    <w:rsid w:val="008A01A6"/>
    <w:rsid w:val="008A045D"/>
    <w:rsid w:val="008A221F"/>
    <w:rsid w:val="008A24E8"/>
    <w:rsid w:val="008A259C"/>
    <w:rsid w:val="008A2989"/>
    <w:rsid w:val="008A46A6"/>
    <w:rsid w:val="008A47B4"/>
    <w:rsid w:val="008A6D7A"/>
    <w:rsid w:val="008A7F6B"/>
    <w:rsid w:val="008B0436"/>
    <w:rsid w:val="008B128A"/>
    <w:rsid w:val="008B279A"/>
    <w:rsid w:val="008B3CAA"/>
    <w:rsid w:val="008B483B"/>
    <w:rsid w:val="008B49D8"/>
    <w:rsid w:val="008B5389"/>
    <w:rsid w:val="008B5AF3"/>
    <w:rsid w:val="008B6B5C"/>
    <w:rsid w:val="008B7881"/>
    <w:rsid w:val="008C0425"/>
    <w:rsid w:val="008C084C"/>
    <w:rsid w:val="008C14A7"/>
    <w:rsid w:val="008C1B36"/>
    <w:rsid w:val="008D096A"/>
    <w:rsid w:val="008D2198"/>
    <w:rsid w:val="008D277A"/>
    <w:rsid w:val="008D3858"/>
    <w:rsid w:val="008D385F"/>
    <w:rsid w:val="008D6DBD"/>
    <w:rsid w:val="008D6E4E"/>
    <w:rsid w:val="008D7328"/>
    <w:rsid w:val="008D7910"/>
    <w:rsid w:val="008E01E6"/>
    <w:rsid w:val="008E0D61"/>
    <w:rsid w:val="008E274E"/>
    <w:rsid w:val="008E541D"/>
    <w:rsid w:val="008E557A"/>
    <w:rsid w:val="008E696A"/>
    <w:rsid w:val="008E7C75"/>
    <w:rsid w:val="008E7DBC"/>
    <w:rsid w:val="008F0748"/>
    <w:rsid w:val="008F1009"/>
    <w:rsid w:val="008F15E4"/>
    <w:rsid w:val="008F1917"/>
    <w:rsid w:val="008F6754"/>
    <w:rsid w:val="00902504"/>
    <w:rsid w:val="00902A91"/>
    <w:rsid w:val="00903037"/>
    <w:rsid w:val="00905594"/>
    <w:rsid w:val="00905EAF"/>
    <w:rsid w:val="00912E93"/>
    <w:rsid w:val="00916576"/>
    <w:rsid w:val="00920FB2"/>
    <w:rsid w:val="00922E61"/>
    <w:rsid w:val="00925407"/>
    <w:rsid w:val="00930079"/>
    <w:rsid w:val="00930C4E"/>
    <w:rsid w:val="00931921"/>
    <w:rsid w:val="009355B9"/>
    <w:rsid w:val="00935F15"/>
    <w:rsid w:val="00935FC9"/>
    <w:rsid w:val="00937588"/>
    <w:rsid w:val="00937B6F"/>
    <w:rsid w:val="00940E5C"/>
    <w:rsid w:val="0094166A"/>
    <w:rsid w:val="00947346"/>
    <w:rsid w:val="00947EF9"/>
    <w:rsid w:val="00951BA2"/>
    <w:rsid w:val="00951C17"/>
    <w:rsid w:val="009522CD"/>
    <w:rsid w:val="009525E5"/>
    <w:rsid w:val="00952648"/>
    <w:rsid w:val="00953368"/>
    <w:rsid w:val="00954CBB"/>
    <w:rsid w:val="009563D6"/>
    <w:rsid w:val="00956E7E"/>
    <w:rsid w:val="00960E55"/>
    <w:rsid w:val="00963CE4"/>
    <w:rsid w:val="009643B0"/>
    <w:rsid w:val="009666A5"/>
    <w:rsid w:val="009666BC"/>
    <w:rsid w:val="0096684A"/>
    <w:rsid w:val="00967061"/>
    <w:rsid w:val="00970E76"/>
    <w:rsid w:val="00971D05"/>
    <w:rsid w:val="00972087"/>
    <w:rsid w:val="00973123"/>
    <w:rsid w:val="00974D2E"/>
    <w:rsid w:val="00974F2F"/>
    <w:rsid w:val="00975811"/>
    <w:rsid w:val="00975ABF"/>
    <w:rsid w:val="0097794B"/>
    <w:rsid w:val="00977F18"/>
    <w:rsid w:val="009866F0"/>
    <w:rsid w:val="00993B64"/>
    <w:rsid w:val="00993FB1"/>
    <w:rsid w:val="00996E9F"/>
    <w:rsid w:val="009A0CCF"/>
    <w:rsid w:val="009A2CC7"/>
    <w:rsid w:val="009A3F12"/>
    <w:rsid w:val="009B19B2"/>
    <w:rsid w:val="009B1E79"/>
    <w:rsid w:val="009B4567"/>
    <w:rsid w:val="009B5C39"/>
    <w:rsid w:val="009B5C57"/>
    <w:rsid w:val="009B5F23"/>
    <w:rsid w:val="009C08C2"/>
    <w:rsid w:val="009C110E"/>
    <w:rsid w:val="009C1159"/>
    <w:rsid w:val="009C1FBE"/>
    <w:rsid w:val="009C2EDB"/>
    <w:rsid w:val="009C4B16"/>
    <w:rsid w:val="009C6183"/>
    <w:rsid w:val="009C79B0"/>
    <w:rsid w:val="009C7FE0"/>
    <w:rsid w:val="009D1A13"/>
    <w:rsid w:val="009D1B9B"/>
    <w:rsid w:val="009D2A09"/>
    <w:rsid w:val="009D3E9B"/>
    <w:rsid w:val="009D47AE"/>
    <w:rsid w:val="009D4E5A"/>
    <w:rsid w:val="009D51E4"/>
    <w:rsid w:val="009D66B1"/>
    <w:rsid w:val="009D7B8E"/>
    <w:rsid w:val="009E2D66"/>
    <w:rsid w:val="009E3035"/>
    <w:rsid w:val="009E4B0E"/>
    <w:rsid w:val="009E5F49"/>
    <w:rsid w:val="009E7734"/>
    <w:rsid w:val="009F0359"/>
    <w:rsid w:val="009F0D4A"/>
    <w:rsid w:val="009F1CC6"/>
    <w:rsid w:val="009F2F74"/>
    <w:rsid w:val="009F368B"/>
    <w:rsid w:val="009F42A9"/>
    <w:rsid w:val="009F4391"/>
    <w:rsid w:val="009F6274"/>
    <w:rsid w:val="009F63B8"/>
    <w:rsid w:val="00A009C4"/>
    <w:rsid w:val="00A0220A"/>
    <w:rsid w:val="00A02839"/>
    <w:rsid w:val="00A062FD"/>
    <w:rsid w:val="00A06450"/>
    <w:rsid w:val="00A0693A"/>
    <w:rsid w:val="00A11804"/>
    <w:rsid w:val="00A14A81"/>
    <w:rsid w:val="00A152E2"/>
    <w:rsid w:val="00A166BF"/>
    <w:rsid w:val="00A175D5"/>
    <w:rsid w:val="00A17BD2"/>
    <w:rsid w:val="00A211E6"/>
    <w:rsid w:val="00A226F4"/>
    <w:rsid w:val="00A22DAC"/>
    <w:rsid w:val="00A24CC4"/>
    <w:rsid w:val="00A2578B"/>
    <w:rsid w:val="00A25913"/>
    <w:rsid w:val="00A2779C"/>
    <w:rsid w:val="00A31B97"/>
    <w:rsid w:val="00A320BE"/>
    <w:rsid w:val="00A33EB7"/>
    <w:rsid w:val="00A3512F"/>
    <w:rsid w:val="00A3592C"/>
    <w:rsid w:val="00A35CEE"/>
    <w:rsid w:val="00A3624F"/>
    <w:rsid w:val="00A40B6B"/>
    <w:rsid w:val="00A40E65"/>
    <w:rsid w:val="00A439BB"/>
    <w:rsid w:val="00A44888"/>
    <w:rsid w:val="00A45B84"/>
    <w:rsid w:val="00A464FC"/>
    <w:rsid w:val="00A50D34"/>
    <w:rsid w:val="00A518A5"/>
    <w:rsid w:val="00A5203A"/>
    <w:rsid w:val="00A542C9"/>
    <w:rsid w:val="00A54E06"/>
    <w:rsid w:val="00A55D23"/>
    <w:rsid w:val="00A55EDB"/>
    <w:rsid w:val="00A56C5A"/>
    <w:rsid w:val="00A57143"/>
    <w:rsid w:val="00A62577"/>
    <w:rsid w:val="00A648C7"/>
    <w:rsid w:val="00A651C2"/>
    <w:rsid w:val="00A6664B"/>
    <w:rsid w:val="00A7070A"/>
    <w:rsid w:val="00A70EBC"/>
    <w:rsid w:val="00A726EA"/>
    <w:rsid w:val="00A72F5D"/>
    <w:rsid w:val="00A73D94"/>
    <w:rsid w:val="00A73E34"/>
    <w:rsid w:val="00A74FE7"/>
    <w:rsid w:val="00A75946"/>
    <w:rsid w:val="00A77BB6"/>
    <w:rsid w:val="00A801B0"/>
    <w:rsid w:val="00A803B2"/>
    <w:rsid w:val="00A80874"/>
    <w:rsid w:val="00A812FE"/>
    <w:rsid w:val="00A82C44"/>
    <w:rsid w:val="00A835CC"/>
    <w:rsid w:val="00A84122"/>
    <w:rsid w:val="00A842BB"/>
    <w:rsid w:val="00A84503"/>
    <w:rsid w:val="00A850B9"/>
    <w:rsid w:val="00A858B2"/>
    <w:rsid w:val="00A86FDC"/>
    <w:rsid w:val="00A90276"/>
    <w:rsid w:val="00A90872"/>
    <w:rsid w:val="00A928E3"/>
    <w:rsid w:val="00A929CE"/>
    <w:rsid w:val="00A94BB7"/>
    <w:rsid w:val="00A95C7D"/>
    <w:rsid w:val="00A9740F"/>
    <w:rsid w:val="00AA05BA"/>
    <w:rsid w:val="00AA0D86"/>
    <w:rsid w:val="00AA1EDF"/>
    <w:rsid w:val="00AA7F11"/>
    <w:rsid w:val="00AB07E7"/>
    <w:rsid w:val="00AB11A5"/>
    <w:rsid w:val="00AB26FE"/>
    <w:rsid w:val="00AB2A77"/>
    <w:rsid w:val="00AB409F"/>
    <w:rsid w:val="00AB47B8"/>
    <w:rsid w:val="00AC010C"/>
    <w:rsid w:val="00AC1084"/>
    <w:rsid w:val="00AC20A4"/>
    <w:rsid w:val="00AC26EA"/>
    <w:rsid w:val="00AC5126"/>
    <w:rsid w:val="00AC78B9"/>
    <w:rsid w:val="00AD18A7"/>
    <w:rsid w:val="00AD3AC6"/>
    <w:rsid w:val="00AD54DE"/>
    <w:rsid w:val="00AD5A95"/>
    <w:rsid w:val="00AD5E2B"/>
    <w:rsid w:val="00AD63A6"/>
    <w:rsid w:val="00AE021A"/>
    <w:rsid w:val="00AE04FC"/>
    <w:rsid w:val="00AE2DF8"/>
    <w:rsid w:val="00AE321F"/>
    <w:rsid w:val="00AE4BDA"/>
    <w:rsid w:val="00AE65BF"/>
    <w:rsid w:val="00AF0673"/>
    <w:rsid w:val="00AF0EB2"/>
    <w:rsid w:val="00AF2543"/>
    <w:rsid w:val="00AF4200"/>
    <w:rsid w:val="00AF5085"/>
    <w:rsid w:val="00AF7199"/>
    <w:rsid w:val="00B01E47"/>
    <w:rsid w:val="00B024E7"/>
    <w:rsid w:val="00B030D7"/>
    <w:rsid w:val="00B03A07"/>
    <w:rsid w:val="00B03BFD"/>
    <w:rsid w:val="00B05646"/>
    <w:rsid w:val="00B063AE"/>
    <w:rsid w:val="00B06E64"/>
    <w:rsid w:val="00B11670"/>
    <w:rsid w:val="00B1198D"/>
    <w:rsid w:val="00B12C7A"/>
    <w:rsid w:val="00B12E27"/>
    <w:rsid w:val="00B13053"/>
    <w:rsid w:val="00B136B4"/>
    <w:rsid w:val="00B13744"/>
    <w:rsid w:val="00B14D15"/>
    <w:rsid w:val="00B167ED"/>
    <w:rsid w:val="00B2171E"/>
    <w:rsid w:val="00B21D31"/>
    <w:rsid w:val="00B21D92"/>
    <w:rsid w:val="00B23DCE"/>
    <w:rsid w:val="00B24BC2"/>
    <w:rsid w:val="00B24DE4"/>
    <w:rsid w:val="00B27A24"/>
    <w:rsid w:val="00B303C8"/>
    <w:rsid w:val="00B31214"/>
    <w:rsid w:val="00B33BAF"/>
    <w:rsid w:val="00B37279"/>
    <w:rsid w:val="00B37488"/>
    <w:rsid w:val="00B43D4A"/>
    <w:rsid w:val="00B4442C"/>
    <w:rsid w:val="00B452EE"/>
    <w:rsid w:val="00B4565D"/>
    <w:rsid w:val="00B4618C"/>
    <w:rsid w:val="00B46A99"/>
    <w:rsid w:val="00B472B4"/>
    <w:rsid w:val="00B47A8B"/>
    <w:rsid w:val="00B5046E"/>
    <w:rsid w:val="00B52307"/>
    <w:rsid w:val="00B544E4"/>
    <w:rsid w:val="00B5464B"/>
    <w:rsid w:val="00B619C1"/>
    <w:rsid w:val="00B63E10"/>
    <w:rsid w:val="00B64942"/>
    <w:rsid w:val="00B650EB"/>
    <w:rsid w:val="00B669AE"/>
    <w:rsid w:val="00B670EC"/>
    <w:rsid w:val="00B6763A"/>
    <w:rsid w:val="00B737B2"/>
    <w:rsid w:val="00B741F0"/>
    <w:rsid w:val="00B7567B"/>
    <w:rsid w:val="00B77CC4"/>
    <w:rsid w:val="00B840A0"/>
    <w:rsid w:val="00B84F6D"/>
    <w:rsid w:val="00B8504A"/>
    <w:rsid w:val="00B85C7D"/>
    <w:rsid w:val="00B85FB6"/>
    <w:rsid w:val="00B877D3"/>
    <w:rsid w:val="00B878B1"/>
    <w:rsid w:val="00B87ECC"/>
    <w:rsid w:val="00B9710F"/>
    <w:rsid w:val="00BA1742"/>
    <w:rsid w:val="00BA1C0B"/>
    <w:rsid w:val="00BA490D"/>
    <w:rsid w:val="00BA4B36"/>
    <w:rsid w:val="00BB0722"/>
    <w:rsid w:val="00BB0BDB"/>
    <w:rsid w:val="00BB174C"/>
    <w:rsid w:val="00BB2566"/>
    <w:rsid w:val="00BB5A43"/>
    <w:rsid w:val="00BB77A9"/>
    <w:rsid w:val="00BC0712"/>
    <w:rsid w:val="00BC18ED"/>
    <w:rsid w:val="00BC3C56"/>
    <w:rsid w:val="00BC4D0F"/>
    <w:rsid w:val="00BC5048"/>
    <w:rsid w:val="00BC5DDC"/>
    <w:rsid w:val="00BD0BE9"/>
    <w:rsid w:val="00BD50B2"/>
    <w:rsid w:val="00BD614E"/>
    <w:rsid w:val="00BD6EA6"/>
    <w:rsid w:val="00BD77D9"/>
    <w:rsid w:val="00BD7E30"/>
    <w:rsid w:val="00BE0219"/>
    <w:rsid w:val="00BE1D91"/>
    <w:rsid w:val="00BE43D0"/>
    <w:rsid w:val="00BE4512"/>
    <w:rsid w:val="00BE5904"/>
    <w:rsid w:val="00BE5D1B"/>
    <w:rsid w:val="00BE5D2C"/>
    <w:rsid w:val="00BE68BB"/>
    <w:rsid w:val="00BE72A2"/>
    <w:rsid w:val="00BE7850"/>
    <w:rsid w:val="00BE7F43"/>
    <w:rsid w:val="00BF0484"/>
    <w:rsid w:val="00BF09BB"/>
    <w:rsid w:val="00BF0C8E"/>
    <w:rsid w:val="00BF5BBF"/>
    <w:rsid w:val="00BF6790"/>
    <w:rsid w:val="00BF6838"/>
    <w:rsid w:val="00C005E7"/>
    <w:rsid w:val="00C0096B"/>
    <w:rsid w:val="00C04345"/>
    <w:rsid w:val="00C0459D"/>
    <w:rsid w:val="00C04BEC"/>
    <w:rsid w:val="00C05F16"/>
    <w:rsid w:val="00C05FFF"/>
    <w:rsid w:val="00C10C1C"/>
    <w:rsid w:val="00C11EB3"/>
    <w:rsid w:val="00C127D3"/>
    <w:rsid w:val="00C14F80"/>
    <w:rsid w:val="00C159AC"/>
    <w:rsid w:val="00C17C9C"/>
    <w:rsid w:val="00C2116E"/>
    <w:rsid w:val="00C22DDD"/>
    <w:rsid w:val="00C247FD"/>
    <w:rsid w:val="00C25FDC"/>
    <w:rsid w:val="00C2796F"/>
    <w:rsid w:val="00C31189"/>
    <w:rsid w:val="00C322CD"/>
    <w:rsid w:val="00C32678"/>
    <w:rsid w:val="00C328F4"/>
    <w:rsid w:val="00C32A10"/>
    <w:rsid w:val="00C3303C"/>
    <w:rsid w:val="00C34108"/>
    <w:rsid w:val="00C343A6"/>
    <w:rsid w:val="00C377D4"/>
    <w:rsid w:val="00C41428"/>
    <w:rsid w:val="00C415E6"/>
    <w:rsid w:val="00C42CF5"/>
    <w:rsid w:val="00C43834"/>
    <w:rsid w:val="00C43A05"/>
    <w:rsid w:val="00C44242"/>
    <w:rsid w:val="00C44F5A"/>
    <w:rsid w:val="00C45647"/>
    <w:rsid w:val="00C4719D"/>
    <w:rsid w:val="00C51565"/>
    <w:rsid w:val="00C54CF3"/>
    <w:rsid w:val="00C5523A"/>
    <w:rsid w:val="00C55705"/>
    <w:rsid w:val="00C5645C"/>
    <w:rsid w:val="00C6005D"/>
    <w:rsid w:val="00C61235"/>
    <w:rsid w:val="00C614F9"/>
    <w:rsid w:val="00C62181"/>
    <w:rsid w:val="00C65A8C"/>
    <w:rsid w:val="00C72095"/>
    <w:rsid w:val="00C72641"/>
    <w:rsid w:val="00C72F47"/>
    <w:rsid w:val="00C73F37"/>
    <w:rsid w:val="00C75AE0"/>
    <w:rsid w:val="00C7670F"/>
    <w:rsid w:val="00C76A56"/>
    <w:rsid w:val="00C82F67"/>
    <w:rsid w:val="00C84965"/>
    <w:rsid w:val="00C84B6D"/>
    <w:rsid w:val="00C85868"/>
    <w:rsid w:val="00C85B81"/>
    <w:rsid w:val="00C8694A"/>
    <w:rsid w:val="00C87788"/>
    <w:rsid w:val="00C90771"/>
    <w:rsid w:val="00C94536"/>
    <w:rsid w:val="00C95AA6"/>
    <w:rsid w:val="00CA0729"/>
    <w:rsid w:val="00CA247A"/>
    <w:rsid w:val="00CA300C"/>
    <w:rsid w:val="00CA44DE"/>
    <w:rsid w:val="00CA55AD"/>
    <w:rsid w:val="00CA588C"/>
    <w:rsid w:val="00CB06F6"/>
    <w:rsid w:val="00CB0970"/>
    <w:rsid w:val="00CB11C0"/>
    <w:rsid w:val="00CB12A2"/>
    <w:rsid w:val="00CB14BE"/>
    <w:rsid w:val="00CB1F65"/>
    <w:rsid w:val="00CB3C19"/>
    <w:rsid w:val="00CB56A9"/>
    <w:rsid w:val="00CB574F"/>
    <w:rsid w:val="00CB5F92"/>
    <w:rsid w:val="00CB6B85"/>
    <w:rsid w:val="00CC4742"/>
    <w:rsid w:val="00CC495D"/>
    <w:rsid w:val="00CC62F3"/>
    <w:rsid w:val="00CD5CF4"/>
    <w:rsid w:val="00CD6A41"/>
    <w:rsid w:val="00CD6E4C"/>
    <w:rsid w:val="00CE225C"/>
    <w:rsid w:val="00CE41A6"/>
    <w:rsid w:val="00CE5CFB"/>
    <w:rsid w:val="00CE712A"/>
    <w:rsid w:val="00CE7BB8"/>
    <w:rsid w:val="00CF1CDB"/>
    <w:rsid w:val="00CF2BC7"/>
    <w:rsid w:val="00CF3CC1"/>
    <w:rsid w:val="00CF4060"/>
    <w:rsid w:val="00CF56B6"/>
    <w:rsid w:val="00CF5F9D"/>
    <w:rsid w:val="00CF713D"/>
    <w:rsid w:val="00CF77C1"/>
    <w:rsid w:val="00D021FD"/>
    <w:rsid w:val="00D02C9B"/>
    <w:rsid w:val="00D04006"/>
    <w:rsid w:val="00D068B9"/>
    <w:rsid w:val="00D06AA6"/>
    <w:rsid w:val="00D10573"/>
    <w:rsid w:val="00D10E92"/>
    <w:rsid w:val="00D11E70"/>
    <w:rsid w:val="00D134C6"/>
    <w:rsid w:val="00D15368"/>
    <w:rsid w:val="00D15438"/>
    <w:rsid w:val="00D17375"/>
    <w:rsid w:val="00D21244"/>
    <w:rsid w:val="00D22D01"/>
    <w:rsid w:val="00D23A0D"/>
    <w:rsid w:val="00D26FC0"/>
    <w:rsid w:val="00D273C7"/>
    <w:rsid w:val="00D31509"/>
    <w:rsid w:val="00D31E9F"/>
    <w:rsid w:val="00D341FA"/>
    <w:rsid w:val="00D34F8E"/>
    <w:rsid w:val="00D37B79"/>
    <w:rsid w:val="00D40E5B"/>
    <w:rsid w:val="00D41C1C"/>
    <w:rsid w:val="00D42360"/>
    <w:rsid w:val="00D4292B"/>
    <w:rsid w:val="00D4317E"/>
    <w:rsid w:val="00D458E1"/>
    <w:rsid w:val="00D45F9E"/>
    <w:rsid w:val="00D47B02"/>
    <w:rsid w:val="00D47FDA"/>
    <w:rsid w:val="00D54EAD"/>
    <w:rsid w:val="00D55AF6"/>
    <w:rsid w:val="00D55F03"/>
    <w:rsid w:val="00D569CC"/>
    <w:rsid w:val="00D610B5"/>
    <w:rsid w:val="00D663CF"/>
    <w:rsid w:val="00D67C60"/>
    <w:rsid w:val="00D72622"/>
    <w:rsid w:val="00D7288F"/>
    <w:rsid w:val="00D72DB2"/>
    <w:rsid w:val="00D73795"/>
    <w:rsid w:val="00D7490A"/>
    <w:rsid w:val="00D749FE"/>
    <w:rsid w:val="00D750B8"/>
    <w:rsid w:val="00D7674C"/>
    <w:rsid w:val="00D7691B"/>
    <w:rsid w:val="00D7744F"/>
    <w:rsid w:val="00D77ADB"/>
    <w:rsid w:val="00D77B34"/>
    <w:rsid w:val="00D81D06"/>
    <w:rsid w:val="00D827C1"/>
    <w:rsid w:val="00D83301"/>
    <w:rsid w:val="00D83617"/>
    <w:rsid w:val="00D86E4D"/>
    <w:rsid w:val="00D938B2"/>
    <w:rsid w:val="00D953C3"/>
    <w:rsid w:val="00DA0A54"/>
    <w:rsid w:val="00DA2527"/>
    <w:rsid w:val="00DA51F6"/>
    <w:rsid w:val="00DA56E4"/>
    <w:rsid w:val="00DA7643"/>
    <w:rsid w:val="00DA7806"/>
    <w:rsid w:val="00DB2711"/>
    <w:rsid w:val="00DB2D35"/>
    <w:rsid w:val="00DB357A"/>
    <w:rsid w:val="00DB3581"/>
    <w:rsid w:val="00DB41DD"/>
    <w:rsid w:val="00DB4E04"/>
    <w:rsid w:val="00DC0DB5"/>
    <w:rsid w:val="00DC32F7"/>
    <w:rsid w:val="00DC5E84"/>
    <w:rsid w:val="00DC73CC"/>
    <w:rsid w:val="00DD111E"/>
    <w:rsid w:val="00DD1CD3"/>
    <w:rsid w:val="00DD1DCB"/>
    <w:rsid w:val="00DD23FF"/>
    <w:rsid w:val="00DD2FD2"/>
    <w:rsid w:val="00DD47C2"/>
    <w:rsid w:val="00DD655C"/>
    <w:rsid w:val="00DE16DB"/>
    <w:rsid w:val="00DE33F6"/>
    <w:rsid w:val="00DE409E"/>
    <w:rsid w:val="00DE5F07"/>
    <w:rsid w:val="00DE642C"/>
    <w:rsid w:val="00DE654D"/>
    <w:rsid w:val="00DE6D1E"/>
    <w:rsid w:val="00DE7BBD"/>
    <w:rsid w:val="00DF3BA4"/>
    <w:rsid w:val="00DF752F"/>
    <w:rsid w:val="00E001F0"/>
    <w:rsid w:val="00E013DC"/>
    <w:rsid w:val="00E0193B"/>
    <w:rsid w:val="00E02206"/>
    <w:rsid w:val="00E03255"/>
    <w:rsid w:val="00E03431"/>
    <w:rsid w:val="00E0424C"/>
    <w:rsid w:val="00E04C5E"/>
    <w:rsid w:val="00E05E6A"/>
    <w:rsid w:val="00E072EF"/>
    <w:rsid w:val="00E07D1A"/>
    <w:rsid w:val="00E13A0C"/>
    <w:rsid w:val="00E1542D"/>
    <w:rsid w:val="00E16E30"/>
    <w:rsid w:val="00E208E5"/>
    <w:rsid w:val="00E220D6"/>
    <w:rsid w:val="00E2522C"/>
    <w:rsid w:val="00E26053"/>
    <w:rsid w:val="00E2612A"/>
    <w:rsid w:val="00E26417"/>
    <w:rsid w:val="00E26784"/>
    <w:rsid w:val="00E272CB"/>
    <w:rsid w:val="00E31311"/>
    <w:rsid w:val="00E316D7"/>
    <w:rsid w:val="00E31989"/>
    <w:rsid w:val="00E32845"/>
    <w:rsid w:val="00E3530A"/>
    <w:rsid w:val="00E3542D"/>
    <w:rsid w:val="00E36CA5"/>
    <w:rsid w:val="00E41347"/>
    <w:rsid w:val="00E423A0"/>
    <w:rsid w:val="00E4258B"/>
    <w:rsid w:val="00E426D6"/>
    <w:rsid w:val="00E44329"/>
    <w:rsid w:val="00E45595"/>
    <w:rsid w:val="00E45CF7"/>
    <w:rsid w:val="00E464D1"/>
    <w:rsid w:val="00E476A1"/>
    <w:rsid w:val="00E51C51"/>
    <w:rsid w:val="00E51E35"/>
    <w:rsid w:val="00E5387B"/>
    <w:rsid w:val="00E55D0C"/>
    <w:rsid w:val="00E570CA"/>
    <w:rsid w:val="00E60CC4"/>
    <w:rsid w:val="00E616BE"/>
    <w:rsid w:val="00E659CC"/>
    <w:rsid w:val="00E66866"/>
    <w:rsid w:val="00E67CEE"/>
    <w:rsid w:val="00E70C41"/>
    <w:rsid w:val="00E71396"/>
    <w:rsid w:val="00E72A23"/>
    <w:rsid w:val="00E74247"/>
    <w:rsid w:val="00E770A7"/>
    <w:rsid w:val="00E77266"/>
    <w:rsid w:val="00E77662"/>
    <w:rsid w:val="00E77B7F"/>
    <w:rsid w:val="00E82EF1"/>
    <w:rsid w:val="00E833DE"/>
    <w:rsid w:val="00E8640E"/>
    <w:rsid w:val="00E8747C"/>
    <w:rsid w:val="00E9045B"/>
    <w:rsid w:val="00E9106A"/>
    <w:rsid w:val="00E918CF"/>
    <w:rsid w:val="00E9327B"/>
    <w:rsid w:val="00E963A4"/>
    <w:rsid w:val="00E96636"/>
    <w:rsid w:val="00E97245"/>
    <w:rsid w:val="00EA017C"/>
    <w:rsid w:val="00EA0231"/>
    <w:rsid w:val="00EA2A3F"/>
    <w:rsid w:val="00EA365E"/>
    <w:rsid w:val="00EA6D76"/>
    <w:rsid w:val="00EA6F93"/>
    <w:rsid w:val="00EA7738"/>
    <w:rsid w:val="00EA787D"/>
    <w:rsid w:val="00EB0FD6"/>
    <w:rsid w:val="00EB12EB"/>
    <w:rsid w:val="00EB1DC7"/>
    <w:rsid w:val="00EB35ED"/>
    <w:rsid w:val="00EB376A"/>
    <w:rsid w:val="00EB5580"/>
    <w:rsid w:val="00EB56BC"/>
    <w:rsid w:val="00EB58DE"/>
    <w:rsid w:val="00EB64F7"/>
    <w:rsid w:val="00EB756E"/>
    <w:rsid w:val="00EC00C2"/>
    <w:rsid w:val="00EC1668"/>
    <w:rsid w:val="00EC3E8F"/>
    <w:rsid w:val="00EC4495"/>
    <w:rsid w:val="00EC5407"/>
    <w:rsid w:val="00EC6343"/>
    <w:rsid w:val="00ED0017"/>
    <w:rsid w:val="00ED04DC"/>
    <w:rsid w:val="00ED29CD"/>
    <w:rsid w:val="00ED5C1B"/>
    <w:rsid w:val="00ED6CA3"/>
    <w:rsid w:val="00ED76CF"/>
    <w:rsid w:val="00EE3DB9"/>
    <w:rsid w:val="00EE7041"/>
    <w:rsid w:val="00EF1677"/>
    <w:rsid w:val="00EF1D30"/>
    <w:rsid w:val="00EF3674"/>
    <w:rsid w:val="00EF5AAF"/>
    <w:rsid w:val="00EF675B"/>
    <w:rsid w:val="00EF698F"/>
    <w:rsid w:val="00EF776E"/>
    <w:rsid w:val="00F0245B"/>
    <w:rsid w:val="00F041F8"/>
    <w:rsid w:val="00F061D1"/>
    <w:rsid w:val="00F06206"/>
    <w:rsid w:val="00F11496"/>
    <w:rsid w:val="00F1332B"/>
    <w:rsid w:val="00F13BFB"/>
    <w:rsid w:val="00F14090"/>
    <w:rsid w:val="00F17825"/>
    <w:rsid w:val="00F20194"/>
    <w:rsid w:val="00F206E2"/>
    <w:rsid w:val="00F21585"/>
    <w:rsid w:val="00F215DB"/>
    <w:rsid w:val="00F216D3"/>
    <w:rsid w:val="00F23272"/>
    <w:rsid w:val="00F26132"/>
    <w:rsid w:val="00F27576"/>
    <w:rsid w:val="00F31588"/>
    <w:rsid w:val="00F3315C"/>
    <w:rsid w:val="00F33375"/>
    <w:rsid w:val="00F34B24"/>
    <w:rsid w:val="00F34EF2"/>
    <w:rsid w:val="00F37EFC"/>
    <w:rsid w:val="00F402AD"/>
    <w:rsid w:val="00F410FF"/>
    <w:rsid w:val="00F4234F"/>
    <w:rsid w:val="00F42BCF"/>
    <w:rsid w:val="00F43398"/>
    <w:rsid w:val="00F4459E"/>
    <w:rsid w:val="00F44CB7"/>
    <w:rsid w:val="00F463B7"/>
    <w:rsid w:val="00F473F7"/>
    <w:rsid w:val="00F51565"/>
    <w:rsid w:val="00F54437"/>
    <w:rsid w:val="00F55BB0"/>
    <w:rsid w:val="00F56B17"/>
    <w:rsid w:val="00F56E88"/>
    <w:rsid w:val="00F603AC"/>
    <w:rsid w:val="00F6272C"/>
    <w:rsid w:val="00F6326D"/>
    <w:rsid w:val="00F646C3"/>
    <w:rsid w:val="00F648B9"/>
    <w:rsid w:val="00F66854"/>
    <w:rsid w:val="00F67DC3"/>
    <w:rsid w:val="00F7121A"/>
    <w:rsid w:val="00F72577"/>
    <w:rsid w:val="00F7433A"/>
    <w:rsid w:val="00F74EC1"/>
    <w:rsid w:val="00F80F76"/>
    <w:rsid w:val="00F82172"/>
    <w:rsid w:val="00F8260B"/>
    <w:rsid w:val="00F83FEC"/>
    <w:rsid w:val="00F85B2D"/>
    <w:rsid w:val="00F908D9"/>
    <w:rsid w:val="00F95B66"/>
    <w:rsid w:val="00F97050"/>
    <w:rsid w:val="00F978EE"/>
    <w:rsid w:val="00F97EBD"/>
    <w:rsid w:val="00FA22FC"/>
    <w:rsid w:val="00FA2489"/>
    <w:rsid w:val="00FA6CE0"/>
    <w:rsid w:val="00FA7E77"/>
    <w:rsid w:val="00FB0D34"/>
    <w:rsid w:val="00FB31EC"/>
    <w:rsid w:val="00FB33A5"/>
    <w:rsid w:val="00FB33C3"/>
    <w:rsid w:val="00FB38AC"/>
    <w:rsid w:val="00FB4513"/>
    <w:rsid w:val="00FB48AC"/>
    <w:rsid w:val="00FB785A"/>
    <w:rsid w:val="00FC02AA"/>
    <w:rsid w:val="00FC21DE"/>
    <w:rsid w:val="00FC2567"/>
    <w:rsid w:val="00FC3262"/>
    <w:rsid w:val="00FC391D"/>
    <w:rsid w:val="00FC7685"/>
    <w:rsid w:val="00FD1166"/>
    <w:rsid w:val="00FD6629"/>
    <w:rsid w:val="00FD72B8"/>
    <w:rsid w:val="00FE1269"/>
    <w:rsid w:val="00FE26C9"/>
    <w:rsid w:val="00FE2CEE"/>
    <w:rsid w:val="00FE36F0"/>
    <w:rsid w:val="00FE5600"/>
    <w:rsid w:val="00FE6EBE"/>
    <w:rsid w:val="00FF5243"/>
    <w:rsid w:val="00FF54C0"/>
    <w:rsid w:val="00FF5ADB"/>
    <w:rsid w:val="00FF60C6"/>
    <w:rsid w:val="00FF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  <w14:docId w14:val="171EFE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1B9"/>
    <w:pPr>
      <w:ind w:left="835"/>
    </w:pPr>
    <w:rPr>
      <w:rFonts w:ascii="Arial" w:eastAsia="Times New Roman" w:hAnsi="Arial"/>
      <w:spacing w:val="-5"/>
      <w:lang w:eastAsia="en-US"/>
    </w:rPr>
  </w:style>
  <w:style w:type="paragraph" w:styleId="Cabealho1">
    <w:name w:val="heading 1"/>
    <w:basedOn w:val="Normal"/>
    <w:next w:val="Corpodetexto"/>
    <w:qFormat/>
    <w:rsid w:val="009C08C2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Cabealho2">
    <w:name w:val="heading 2"/>
    <w:basedOn w:val="Normal"/>
    <w:next w:val="Corpodetexto"/>
    <w:qFormat/>
    <w:rsid w:val="009C08C2"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Cabealho3">
    <w:name w:val="heading 3"/>
    <w:basedOn w:val="Normal"/>
    <w:next w:val="Corpodetexto"/>
    <w:qFormat/>
    <w:rsid w:val="009C08C2"/>
    <w:pPr>
      <w:keepNext/>
      <w:keepLines/>
      <w:spacing w:line="180" w:lineRule="atLeast"/>
      <w:ind w:left="1195"/>
      <w:outlineLvl w:val="2"/>
    </w:pPr>
    <w:rPr>
      <w:rFonts w:ascii="Arial Black" w:hAnsi="Arial Black"/>
      <w:kern w:val="28"/>
    </w:rPr>
  </w:style>
  <w:style w:type="paragraph" w:styleId="Cabealho4">
    <w:name w:val="heading 4"/>
    <w:basedOn w:val="Normal"/>
    <w:next w:val="Corpodetexto"/>
    <w:qFormat/>
    <w:rsid w:val="009C08C2"/>
    <w:pPr>
      <w:keepNext/>
      <w:keepLines/>
      <w:spacing w:line="180" w:lineRule="atLeast"/>
      <w:ind w:left="1555"/>
      <w:outlineLvl w:val="3"/>
    </w:pPr>
    <w:rPr>
      <w:rFonts w:ascii="Arial Black" w:hAnsi="Arial Black"/>
      <w:spacing w:val="-2"/>
      <w:kern w:val="28"/>
      <w:sz w:val="18"/>
    </w:rPr>
  </w:style>
  <w:style w:type="paragraph" w:styleId="Cabealho5">
    <w:name w:val="heading 5"/>
    <w:basedOn w:val="Normal"/>
    <w:next w:val="Corpodetexto"/>
    <w:qFormat/>
    <w:rsid w:val="009C08C2"/>
    <w:pPr>
      <w:keepNext/>
      <w:keepLines/>
      <w:spacing w:line="180" w:lineRule="atLeast"/>
      <w:ind w:left="1915"/>
      <w:outlineLvl w:val="4"/>
    </w:pPr>
    <w:rPr>
      <w:rFonts w:ascii="Arial Black" w:hAnsi="Arial Black"/>
      <w:spacing w:val="-2"/>
      <w:kern w:val="28"/>
      <w:sz w:val="18"/>
    </w:rPr>
  </w:style>
  <w:style w:type="paragraph" w:styleId="Cabealho6">
    <w:name w:val="heading 6"/>
    <w:basedOn w:val="Normal"/>
    <w:next w:val="Normal"/>
    <w:qFormat/>
    <w:rsid w:val="009C08C2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Cabealho7">
    <w:name w:val="heading 7"/>
    <w:basedOn w:val="Normal"/>
    <w:next w:val="Normal"/>
    <w:qFormat/>
    <w:rsid w:val="009C08C2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Cabealho8">
    <w:name w:val="heading 8"/>
    <w:basedOn w:val="Normal"/>
    <w:next w:val="Normal"/>
    <w:qFormat/>
    <w:rsid w:val="009C08C2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Cabealho9">
    <w:name w:val="heading 9"/>
    <w:basedOn w:val="Normal"/>
    <w:next w:val="Normal"/>
    <w:qFormat/>
    <w:rsid w:val="009C08C2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arcter"/>
    <w:rsid w:val="009C08C2"/>
    <w:pPr>
      <w:spacing w:after="220" w:line="180" w:lineRule="atLeast"/>
      <w:jc w:val="both"/>
    </w:pPr>
  </w:style>
  <w:style w:type="character" w:customStyle="1" w:styleId="Caixadeverificao">
    <w:name w:val="Caixa de verificação"/>
    <w:rsid w:val="009C08C2"/>
    <w:rPr>
      <w:rFonts w:ascii="Times New Roman" w:hAnsi="Times New Roman"/>
      <w:sz w:val="22"/>
      <w:lang w:bidi="ar-SA"/>
    </w:rPr>
  </w:style>
  <w:style w:type="paragraph" w:customStyle="1" w:styleId="Nomedaempresa">
    <w:name w:val="Nome da empresa"/>
    <w:basedOn w:val="Normal"/>
    <w:rsid w:val="009C08C2"/>
    <w:pPr>
      <w:keepLines/>
      <w:shd w:val="solid" w:color="auto" w:fill="auto"/>
      <w:spacing w:line="320" w:lineRule="exact"/>
      <w:ind w:left="0"/>
    </w:pPr>
    <w:rPr>
      <w:rFonts w:ascii="Arial Black" w:hAnsi="Arial Black"/>
      <w:color w:val="FFFFFF"/>
      <w:spacing w:val="-15"/>
      <w:sz w:val="32"/>
    </w:rPr>
  </w:style>
  <w:style w:type="paragraph" w:customStyle="1" w:styleId="Nomedodocumento">
    <w:name w:val="Nome do documento"/>
    <w:basedOn w:val="Normal"/>
    <w:rsid w:val="009C08C2"/>
    <w:pPr>
      <w:keepNext/>
      <w:keepLines/>
      <w:spacing w:before="400" w:after="120" w:line="240" w:lineRule="atLeast"/>
      <w:ind w:left="0"/>
    </w:pPr>
    <w:rPr>
      <w:rFonts w:ascii="Arial Black" w:hAnsi="Arial Black"/>
      <w:spacing w:val="-100"/>
      <w:kern w:val="28"/>
      <w:sz w:val="108"/>
    </w:rPr>
  </w:style>
  <w:style w:type="character" w:styleId="nfase">
    <w:name w:val="Emphasis"/>
    <w:qFormat/>
    <w:rsid w:val="009C08C2"/>
    <w:rPr>
      <w:rFonts w:ascii="Arial Black" w:hAnsi="Arial Black"/>
      <w:sz w:val="18"/>
      <w:lang w:bidi="ar-SA"/>
    </w:rPr>
  </w:style>
  <w:style w:type="paragraph" w:customStyle="1" w:styleId="Cabealho-base">
    <w:name w:val="Cabeçalho - base"/>
    <w:basedOn w:val="Corpodetexto"/>
    <w:rsid w:val="009C08C2"/>
    <w:pPr>
      <w:keepLines/>
      <w:tabs>
        <w:tab w:val="center" w:pos="4320"/>
        <w:tab w:val="right" w:pos="8640"/>
      </w:tabs>
      <w:spacing w:after="0"/>
    </w:pPr>
  </w:style>
  <w:style w:type="paragraph" w:styleId="Rodap">
    <w:name w:val="footer"/>
    <w:basedOn w:val="Cabealho-base"/>
    <w:link w:val="RodapCarcter"/>
    <w:uiPriority w:val="99"/>
    <w:rsid w:val="009C08C2"/>
    <w:pPr>
      <w:spacing w:before="600"/>
    </w:pPr>
    <w:rPr>
      <w:sz w:val="18"/>
    </w:rPr>
  </w:style>
  <w:style w:type="paragraph" w:styleId="Cabealho">
    <w:name w:val="header"/>
    <w:basedOn w:val="Cabealho-base"/>
    <w:link w:val="CabealhoCarcter"/>
    <w:uiPriority w:val="99"/>
    <w:rsid w:val="009C08C2"/>
    <w:pPr>
      <w:spacing w:after="600"/>
    </w:pPr>
  </w:style>
  <w:style w:type="paragraph" w:customStyle="1" w:styleId="Ttulo-base">
    <w:name w:val="Título - base"/>
    <w:basedOn w:val="Corpodetexto"/>
    <w:next w:val="Corpodetexto"/>
    <w:rsid w:val="009C08C2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Cabealhodamensagem">
    <w:name w:val="Message Header"/>
    <w:basedOn w:val="Corpodetexto"/>
    <w:rsid w:val="009C08C2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Cabealhodamens-primeiralinha">
    <w:name w:val="Cabeçalho da mens. - primeira linha"/>
    <w:basedOn w:val="Cabealhodamensagem"/>
    <w:next w:val="Cabealhodamensagem"/>
    <w:rsid w:val="009C08C2"/>
  </w:style>
  <w:style w:type="character" w:customStyle="1" w:styleId="Cabealhodamens-nome">
    <w:name w:val="Cabeçalho da mens. - nome"/>
    <w:rsid w:val="009C08C2"/>
    <w:rPr>
      <w:rFonts w:ascii="Arial Black" w:hAnsi="Arial Black"/>
      <w:sz w:val="18"/>
      <w:lang w:bidi="ar-SA"/>
    </w:rPr>
  </w:style>
  <w:style w:type="paragraph" w:customStyle="1" w:styleId="Cabealhodamens-ltimalinha">
    <w:name w:val="Cabeçalho da mens. - última linha"/>
    <w:basedOn w:val="Cabealhodamensagem"/>
    <w:next w:val="Corpodetexto"/>
    <w:rsid w:val="009C08C2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541"/>
      </w:tabs>
      <w:spacing w:before="120" w:after="120"/>
      <w:ind w:left="835" w:firstLine="0"/>
    </w:pPr>
  </w:style>
  <w:style w:type="paragraph" w:styleId="Avanonormal">
    <w:name w:val="Normal Indent"/>
    <w:basedOn w:val="Normal"/>
    <w:rsid w:val="009C08C2"/>
    <w:pPr>
      <w:ind w:left="1555"/>
    </w:pPr>
  </w:style>
  <w:style w:type="character" w:styleId="Nmerodepgina">
    <w:name w:val="page number"/>
    <w:uiPriority w:val="99"/>
    <w:rsid w:val="009C08C2"/>
    <w:rPr>
      <w:sz w:val="18"/>
      <w:lang w:bidi="ar-SA"/>
    </w:rPr>
  </w:style>
  <w:style w:type="paragraph" w:customStyle="1" w:styleId="Endereodoremetente">
    <w:name w:val="Endereço do remetente"/>
    <w:basedOn w:val="Normal"/>
    <w:rsid w:val="009C08C2"/>
    <w:pPr>
      <w:keepLines/>
      <w:spacing w:line="200" w:lineRule="atLeast"/>
      <w:ind w:left="0"/>
    </w:pPr>
    <w:rPr>
      <w:spacing w:val="-2"/>
      <w:sz w:val="16"/>
    </w:rPr>
  </w:style>
  <w:style w:type="paragraph" w:customStyle="1" w:styleId="Nomedeassinatura">
    <w:name w:val="Nome de assinatura"/>
    <w:basedOn w:val="Normal"/>
    <w:next w:val="Normal"/>
    <w:rsid w:val="009C08C2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basedOn w:val="Tipodeletrapredefinidodopargrafo"/>
    <w:rsid w:val="009C08C2"/>
    <w:rPr>
      <w:rFonts w:ascii="Arial Black" w:hAnsi="Arial Black"/>
      <w:color w:val="FFFFFF"/>
      <w:spacing w:val="-10"/>
      <w:position w:val="0"/>
      <w:sz w:val="19"/>
      <w:bdr w:val="none" w:sz="0" w:space="0" w:color="auto"/>
      <w:shd w:val="solid" w:color="auto" w:fill="auto"/>
    </w:rPr>
  </w:style>
  <w:style w:type="paragraph" w:styleId="Lista">
    <w:name w:val="List"/>
    <w:basedOn w:val="Normal"/>
    <w:rsid w:val="009C08C2"/>
    <w:pPr>
      <w:ind w:left="1195" w:hanging="360"/>
    </w:pPr>
  </w:style>
  <w:style w:type="paragraph" w:styleId="Lista2">
    <w:name w:val="List 2"/>
    <w:basedOn w:val="Normal"/>
    <w:rsid w:val="009C08C2"/>
    <w:pPr>
      <w:ind w:left="1555" w:hanging="360"/>
    </w:pPr>
  </w:style>
  <w:style w:type="paragraph" w:styleId="Lista3">
    <w:name w:val="List 3"/>
    <w:basedOn w:val="Normal"/>
    <w:rsid w:val="009C08C2"/>
    <w:pPr>
      <w:ind w:left="1915" w:hanging="360"/>
    </w:pPr>
  </w:style>
  <w:style w:type="paragraph" w:styleId="Lista4">
    <w:name w:val="List 4"/>
    <w:basedOn w:val="Normal"/>
    <w:rsid w:val="009C08C2"/>
    <w:pPr>
      <w:ind w:left="2275" w:hanging="360"/>
    </w:pPr>
  </w:style>
  <w:style w:type="paragraph" w:styleId="Lista5">
    <w:name w:val="List 5"/>
    <w:basedOn w:val="Normal"/>
    <w:rsid w:val="009C08C2"/>
    <w:pPr>
      <w:ind w:left="2635" w:hanging="360"/>
    </w:pPr>
  </w:style>
  <w:style w:type="paragraph" w:styleId="Listacommarcas">
    <w:name w:val="List Bullet"/>
    <w:basedOn w:val="Normal"/>
    <w:autoRedefine/>
    <w:rsid w:val="009C08C2"/>
    <w:pPr>
      <w:numPr>
        <w:numId w:val="1"/>
      </w:numPr>
      <w:ind w:left="1195"/>
    </w:pPr>
  </w:style>
  <w:style w:type="paragraph" w:styleId="Listacommarcas2">
    <w:name w:val="List Bullet 2"/>
    <w:basedOn w:val="Normal"/>
    <w:autoRedefine/>
    <w:rsid w:val="009C08C2"/>
    <w:pPr>
      <w:numPr>
        <w:numId w:val="2"/>
      </w:numPr>
      <w:ind w:left="1555"/>
    </w:pPr>
  </w:style>
  <w:style w:type="paragraph" w:styleId="Listacommarcas3">
    <w:name w:val="List Bullet 3"/>
    <w:basedOn w:val="Normal"/>
    <w:autoRedefine/>
    <w:rsid w:val="009C08C2"/>
    <w:pPr>
      <w:numPr>
        <w:numId w:val="3"/>
      </w:numPr>
      <w:ind w:left="1915"/>
    </w:pPr>
  </w:style>
  <w:style w:type="paragraph" w:styleId="Listacommarcas4">
    <w:name w:val="List Bullet 4"/>
    <w:basedOn w:val="Normal"/>
    <w:autoRedefine/>
    <w:rsid w:val="009C08C2"/>
    <w:pPr>
      <w:numPr>
        <w:numId w:val="4"/>
      </w:numPr>
      <w:ind w:left="2275"/>
    </w:pPr>
  </w:style>
  <w:style w:type="paragraph" w:styleId="Listacommarcas5">
    <w:name w:val="List Bullet 5"/>
    <w:basedOn w:val="Normal"/>
    <w:autoRedefine/>
    <w:rsid w:val="009C08C2"/>
    <w:pPr>
      <w:numPr>
        <w:numId w:val="5"/>
      </w:numPr>
      <w:ind w:left="2635"/>
    </w:pPr>
  </w:style>
  <w:style w:type="paragraph" w:styleId="Listadecont">
    <w:name w:val="List Continue"/>
    <w:basedOn w:val="Normal"/>
    <w:rsid w:val="009C08C2"/>
    <w:pPr>
      <w:spacing w:after="120"/>
      <w:ind w:left="1195"/>
    </w:pPr>
  </w:style>
  <w:style w:type="paragraph" w:styleId="Listadecont2">
    <w:name w:val="List Continue 2"/>
    <w:basedOn w:val="Normal"/>
    <w:rsid w:val="009C08C2"/>
    <w:pPr>
      <w:spacing w:after="120"/>
      <w:ind w:left="1555"/>
    </w:pPr>
  </w:style>
  <w:style w:type="paragraph" w:styleId="Listadecont3">
    <w:name w:val="List Continue 3"/>
    <w:basedOn w:val="Normal"/>
    <w:rsid w:val="009C08C2"/>
    <w:pPr>
      <w:spacing w:after="120"/>
      <w:ind w:left="1915"/>
    </w:pPr>
  </w:style>
  <w:style w:type="paragraph" w:styleId="Listadecont4">
    <w:name w:val="List Continue 4"/>
    <w:basedOn w:val="Normal"/>
    <w:rsid w:val="009C08C2"/>
    <w:pPr>
      <w:spacing w:after="120"/>
      <w:ind w:left="2275"/>
    </w:pPr>
  </w:style>
  <w:style w:type="paragraph" w:styleId="Listadecont5">
    <w:name w:val="List Continue 5"/>
    <w:basedOn w:val="Normal"/>
    <w:rsid w:val="009C08C2"/>
    <w:pPr>
      <w:spacing w:after="120"/>
      <w:ind w:left="2635"/>
    </w:pPr>
  </w:style>
  <w:style w:type="paragraph" w:styleId="Listanumerada">
    <w:name w:val="List Number"/>
    <w:basedOn w:val="Normal"/>
    <w:rsid w:val="009C08C2"/>
    <w:pPr>
      <w:numPr>
        <w:numId w:val="6"/>
      </w:numPr>
      <w:ind w:left="1195"/>
    </w:pPr>
  </w:style>
  <w:style w:type="paragraph" w:styleId="Listanumerada2">
    <w:name w:val="List Number 2"/>
    <w:basedOn w:val="Normal"/>
    <w:rsid w:val="009C08C2"/>
    <w:pPr>
      <w:numPr>
        <w:numId w:val="7"/>
      </w:numPr>
      <w:ind w:left="1555"/>
    </w:pPr>
  </w:style>
  <w:style w:type="paragraph" w:styleId="Listanumerada3">
    <w:name w:val="List Number 3"/>
    <w:basedOn w:val="Normal"/>
    <w:rsid w:val="009C08C2"/>
    <w:pPr>
      <w:numPr>
        <w:numId w:val="8"/>
      </w:numPr>
      <w:ind w:left="1915"/>
    </w:pPr>
  </w:style>
  <w:style w:type="paragraph" w:styleId="Listanumerada4">
    <w:name w:val="List Number 4"/>
    <w:basedOn w:val="Normal"/>
    <w:rsid w:val="009C08C2"/>
    <w:pPr>
      <w:numPr>
        <w:numId w:val="9"/>
      </w:numPr>
      <w:ind w:left="2275"/>
    </w:pPr>
  </w:style>
  <w:style w:type="paragraph" w:styleId="Listanumerada5">
    <w:name w:val="List Number 5"/>
    <w:basedOn w:val="Normal"/>
    <w:rsid w:val="009C08C2"/>
    <w:pPr>
      <w:numPr>
        <w:numId w:val="10"/>
      </w:numPr>
      <w:ind w:left="2635"/>
    </w:pPr>
  </w:style>
  <w:style w:type="character" w:styleId="AcrnimoHTML">
    <w:name w:val="HTML Acronym"/>
    <w:basedOn w:val="Tipodeletrapredefinidodopargrafo"/>
    <w:rsid w:val="009C08C2"/>
  </w:style>
  <w:style w:type="paragraph" w:styleId="Assinatura">
    <w:name w:val="Signature"/>
    <w:basedOn w:val="Normal"/>
    <w:rsid w:val="009C08C2"/>
    <w:pPr>
      <w:ind w:left="4320"/>
    </w:pPr>
  </w:style>
  <w:style w:type="paragraph" w:styleId="Assinaturadecorreioelectrnico">
    <w:name w:val="E-mail Signature"/>
    <w:basedOn w:val="Normal"/>
    <w:rsid w:val="009C08C2"/>
  </w:style>
  <w:style w:type="paragraph" w:styleId="Avanodecorpodetexto">
    <w:name w:val="Body Text Indent"/>
    <w:basedOn w:val="Normal"/>
    <w:rsid w:val="009C08C2"/>
    <w:pPr>
      <w:spacing w:after="120"/>
      <w:ind w:left="360"/>
    </w:pPr>
  </w:style>
  <w:style w:type="paragraph" w:styleId="Avanodecorpodetexto2">
    <w:name w:val="Body Text Indent 2"/>
    <w:basedOn w:val="Normal"/>
    <w:rsid w:val="009C08C2"/>
    <w:pPr>
      <w:spacing w:after="120" w:line="480" w:lineRule="auto"/>
      <w:ind w:left="360"/>
    </w:pPr>
  </w:style>
  <w:style w:type="paragraph" w:styleId="Avanodecorpodetexto3">
    <w:name w:val="Body Text Indent 3"/>
    <w:basedOn w:val="Normal"/>
    <w:rsid w:val="009C08C2"/>
    <w:pPr>
      <w:spacing w:after="120"/>
      <w:ind w:left="360"/>
    </w:pPr>
    <w:rPr>
      <w:sz w:val="16"/>
      <w:szCs w:val="16"/>
    </w:rPr>
  </w:style>
  <w:style w:type="character" w:styleId="CitaoHTML">
    <w:name w:val="HTML Cite"/>
    <w:basedOn w:val="Tipodeletrapredefinidodopargrafo"/>
    <w:rsid w:val="009C08C2"/>
    <w:rPr>
      <w:i/>
      <w:iCs/>
    </w:rPr>
  </w:style>
  <w:style w:type="character" w:styleId="CdigoHTML">
    <w:name w:val="HTML Code"/>
    <w:basedOn w:val="Tipodeletrapredefinidodopargrafo"/>
    <w:rsid w:val="009C08C2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rsid w:val="009C08C2"/>
    <w:pPr>
      <w:spacing w:after="120" w:line="480" w:lineRule="auto"/>
    </w:pPr>
  </w:style>
  <w:style w:type="paragraph" w:styleId="Corpodetexto3">
    <w:name w:val="Body Text 3"/>
    <w:basedOn w:val="Normal"/>
    <w:rsid w:val="009C08C2"/>
    <w:pPr>
      <w:spacing w:after="120"/>
    </w:pPr>
    <w:rPr>
      <w:sz w:val="16"/>
      <w:szCs w:val="16"/>
    </w:rPr>
  </w:style>
  <w:style w:type="paragraph" w:styleId="Data">
    <w:name w:val="Date"/>
    <w:basedOn w:val="Normal"/>
    <w:next w:val="Normal"/>
    <w:rsid w:val="009C08C2"/>
  </w:style>
  <w:style w:type="character" w:styleId="DefinioHTML">
    <w:name w:val="HTML Definition"/>
    <w:basedOn w:val="Tipodeletrapredefinidodopargrafo"/>
    <w:rsid w:val="009C08C2"/>
    <w:rPr>
      <w:i/>
      <w:iCs/>
    </w:rPr>
  </w:style>
  <w:style w:type="paragraph" w:styleId="Destinatrio">
    <w:name w:val="envelope address"/>
    <w:basedOn w:val="Normal"/>
    <w:rsid w:val="009C08C2"/>
    <w:pPr>
      <w:framePr w:w="7938" w:h="1984" w:hRule="exact" w:hSpace="141" w:wrap="auto" w:hAnchor="page" w:xAlign="center" w:yAlign="bottom"/>
      <w:ind w:left="2835"/>
    </w:pPr>
    <w:rPr>
      <w:rFonts w:cs="Arial"/>
      <w:sz w:val="24"/>
      <w:szCs w:val="24"/>
    </w:rPr>
  </w:style>
  <w:style w:type="paragraph" w:styleId="EndereoHTML">
    <w:name w:val="HTML Address"/>
    <w:basedOn w:val="Normal"/>
    <w:rsid w:val="009C08C2"/>
    <w:rPr>
      <w:i/>
      <w:iCs/>
    </w:rPr>
  </w:style>
  <w:style w:type="character" w:styleId="ExemplodeHTML">
    <w:name w:val="HTML Sample"/>
    <w:basedOn w:val="Tipodeletrapredefinidodopargrafo"/>
    <w:rsid w:val="009C08C2"/>
    <w:rPr>
      <w:rFonts w:ascii="Courier New" w:hAnsi="Courier New"/>
    </w:rPr>
  </w:style>
  <w:style w:type="character" w:styleId="Hiperligao">
    <w:name w:val="Hyperlink"/>
    <w:basedOn w:val="Tipodeletrapredefinidodopargrafo"/>
    <w:uiPriority w:val="99"/>
    <w:rsid w:val="009C08C2"/>
    <w:rPr>
      <w:color w:val="0000FF"/>
      <w:u w:val="single"/>
    </w:rPr>
  </w:style>
  <w:style w:type="character" w:styleId="Hiperligaovisitada">
    <w:name w:val="FollowedHyperlink"/>
    <w:basedOn w:val="Tipodeletrapredefinidodopargrafo"/>
    <w:rsid w:val="009C08C2"/>
    <w:rPr>
      <w:color w:val="800080"/>
      <w:u w:val="single"/>
    </w:rPr>
  </w:style>
  <w:style w:type="paragraph" w:styleId="HTMLpr-formatado">
    <w:name w:val="HTML Preformatted"/>
    <w:basedOn w:val="Normal"/>
    <w:rsid w:val="009C08C2"/>
    <w:rPr>
      <w:rFonts w:ascii="Courier New" w:hAnsi="Courier New" w:cs="Courier New"/>
    </w:rPr>
  </w:style>
  <w:style w:type="paragraph" w:styleId="ndice1">
    <w:name w:val="toc 1"/>
    <w:basedOn w:val="Normal"/>
    <w:next w:val="Normal"/>
    <w:autoRedefine/>
    <w:uiPriority w:val="39"/>
    <w:rsid w:val="0011462B"/>
    <w:pPr>
      <w:tabs>
        <w:tab w:val="left" w:pos="567"/>
        <w:tab w:val="right" w:leader="dot" w:pos="9922"/>
      </w:tabs>
      <w:spacing w:before="120" w:after="120"/>
      <w:ind w:left="0"/>
    </w:pPr>
  </w:style>
  <w:style w:type="paragraph" w:styleId="ndice2">
    <w:name w:val="toc 2"/>
    <w:basedOn w:val="Normal"/>
    <w:next w:val="Normal"/>
    <w:autoRedefine/>
    <w:uiPriority w:val="39"/>
    <w:rsid w:val="009C08C2"/>
    <w:pPr>
      <w:ind w:left="200"/>
    </w:pPr>
  </w:style>
  <w:style w:type="paragraph" w:styleId="ndice3">
    <w:name w:val="toc 3"/>
    <w:basedOn w:val="Normal"/>
    <w:next w:val="Normal"/>
    <w:autoRedefine/>
    <w:uiPriority w:val="39"/>
    <w:rsid w:val="0011462B"/>
    <w:pPr>
      <w:tabs>
        <w:tab w:val="left" w:pos="567"/>
        <w:tab w:val="right" w:leader="dot" w:pos="9912"/>
      </w:tabs>
      <w:spacing w:before="120" w:after="120"/>
      <w:ind w:left="0"/>
    </w:pPr>
  </w:style>
  <w:style w:type="paragraph" w:styleId="ndice4">
    <w:name w:val="toc 4"/>
    <w:basedOn w:val="Normal"/>
    <w:next w:val="Normal"/>
    <w:autoRedefine/>
    <w:semiHidden/>
    <w:rsid w:val="009C08C2"/>
    <w:pPr>
      <w:ind w:left="600"/>
    </w:pPr>
  </w:style>
  <w:style w:type="paragraph" w:styleId="ndice5">
    <w:name w:val="toc 5"/>
    <w:basedOn w:val="Normal"/>
    <w:next w:val="Normal"/>
    <w:autoRedefine/>
    <w:semiHidden/>
    <w:rsid w:val="009C08C2"/>
    <w:pPr>
      <w:ind w:left="800"/>
    </w:pPr>
  </w:style>
  <w:style w:type="paragraph" w:styleId="ndice6">
    <w:name w:val="toc 6"/>
    <w:basedOn w:val="Normal"/>
    <w:next w:val="Normal"/>
    <w:autoRedefine/>
    <w:semiHidden/>
    <w:rsid w:val="009C08C2"/>
    <w:pPr>
      <w:ind w:left="1000"/>
    </w:pPr>
  </w:style>
  <w:style w:type="paragraph" w:styleId="ndice7">
    <w:name w:val="toc 7"/>
    <w:basedOn w:val="Normal"/>
    <w:next w:val="Normal"/>
    <w:autoRedefine/>
    <w:semiHidden/>
    <w:rsid w:val="009C08C2"/>
    <w:pPr>
      <w:ind w:left="1200"/>
    </w:pPr>
  </w:style>
  <w:style w:type="paragraph" w:styleId="ndice8">
    <w:name w:val="toc 8"/>
    <w:basedOn w:val="Normal"/>
    <w:next w:val="Normal"/>
    <w:autoRedefine/>
    <w:semiHidden/>
    <w:rsid w:val="009C08C2"/>
    <w:pPr>
      <w:ind w:left="1400"/>
    </w:pPr>
  </w:style>
  <w:style w:type="paragraph" w:styleId="ndice9">
    <w:name w:val="toc 9"/>
    <w:basedOn w:val="Normal"/>
    <w:next w:val="Normal"/>
    <w:autoRedefine/>
    <w:semiHidden/>
    <w:rsid w:val="009C08C2"/>
    <w:pPr>
      <w:ind w:left="1600"/>
    </w:pPr>
  </w:style>
  <w:style w:type="paragraph" w:styleId="ndicedeautoridades">
    <w:name w:val="table of authorities"/>
    <w:basedOn w:val="Normal"/>
    <w:next w:val="Normal"/>
    <w:semiHidden/>
    <w:rsid w:val="009C08C2"/>
    <w:pPr>
      <w:ind w:left="200" w:hanging="200"/>
    </w:pPr>
  </w:style>
  <w:style w:type="paragraph" w:styleId="ndicedeilustraes">
    <w:name w:val="table of figures"/>
    <w:basedOn w:val="Normal"/>
    <w:next w:val="Normal"/>
    <w:semiHidden/>
    <w:rsid w:val="009C08C2"/>
    <w:pPr>
      <w:ind w:left="400" w:hanging="400"/>
    </w:pPr>
  </w:style>
  <w:style w:type="paragraph" w:styleId="ndiceremissivo1">
    <w:name w:val="index 1"/>
    <w:basedOn w:val="Normal"/>
    <w:next w:val="Normal"/>
    <w:autoRedefine/>
    <w:semiHidden/>
    <w:rsid w:val="009C08C2"/>
    <w:pPr>
      <w:ind w:left="200" w:hanging="200"/>
    </w:pPr>
  </w:style>
  <w:style w:type="paragraph" w:styleId="ndiceremissivo2">
    <w:name w:val="index 2"/>
    <w:basedOn w:val="Normal"/>
    <w:next w:val="Normal"/>
    <w:autoRedefine/>
    <w:semiHidden/>
    <w:rsid w:val="009C08C2"/>
    <w:pPr>
      <w:ind w:left="400" w:hanging="200"/>
    </w:pPr>
  </w:style>
  <w:style w:type="paragraph" w:styleId="ndiceremissivo3">
    <w:name w:val="index 3"/>
    <w:basedOn w:val="Normal"/>
    <w:next w:val="Normal"/>
    <w:autoRedefine/>
    <w:semiHidden/>
    <w:rsid w:val="009C08C2"/>
    <w:pPr>
      <w:ind w:left="600" w:hanging="200"/>
    </w:pPr>
  </w:style>
  <w:style w:type="paragraph" w:styleId="ndiceremissivo4">
    <w:name w:val="index 4"/>
    <w:basedOn w:val="Normal"/>
    <w:next w:val="Normal"/>
    <w:autoRedefine/>
    <w:semiHidden/>
    <w:rsid w:val="009C08C2"/>
    <w:pPr>
      <w:ind w:left="800" w:hanging="200"/>
    </w:pPr>
  </w:style>
  <w:style w:type="paragraph" w:styleId="ndiceremissivo5">
    <w:name w:val="index 5"/>
    <w:basedOn w:val="Normal"/>
    <w:next w:val="Normal"/>
    <w:autoRedefine/>
    <w:semiHidden/>
    <w:rsid w:val="009C08C2"/>
    <w:pPr>
      <w:ind w:left="1000" w:hanging="200"/>
    </w:pPr>
  </w:style>
  <w:style w:type="paragraph" w:styleId="ndiceremissivo6">
    <w:name w:val="index 6"/>
    <w:basedOn w:val="Normal"/>
    <w:next w:val="Normal"/>
    <w:autoRedefine/>
    <w:semiHidden/>
    <w:rsid w:val="009C08C2"/>
    <w:pPr>
      <w:ind w:left="1200" w:hanging="200"/>
    </w:pPr>
  </w:style>
  <w:style w:type="paragraph" w:styleId="ndiceremissivo7">
    <w:name w:val="index 7"/>
    <w:basedOn w:val="Normal"/>
    <w:next w:val="Normal"/>
    <w:autoRedefine/>
    <w:semiHidden/>
    <w:rsid w:val="009C08C2"/>
    <w:pPr>
      <w:ind w:left="1400" w:hanging="200"/>
    </w:pPr>
  </w:style>
  <w:style w:type="paragraph" w:styleId="ndiceremissivo8">
    <w:name w:val="index 8"/>
    <w:basedOn w:val="Normal"/>
    <w:next w:val="Normal"/>
    <w:autoRedefine/>
    <w:semiHidden/>
    <w:rsid w:val="009C08C2"/>
    <w:pPr>
      <w:ind w:left="1600" w:hanging="200"/>
    </w:pPr>
  </w:style>
  <w:style w:type="paragraph" w:styleId="ndiceremissivo9">
    <w:name w:val="index 9"/>
    <w:basedOn w:val="Normal"/>
    <w:next w:val="Normal"/>
    <w:autoRedefine/>
    <w:semiHidden/>
    <w:rsid w:val="009C08C2"/>
    <w:pPr>
      <w:ind w:left="1800" w:hanging="200"/>
    </w:pPr>
  </w:style>
  <w:style w:type="paragraph" w:styleId="Inciodecarta">
    <w:name w:val="Salutation"/>
    <w:basedOn w:val="Normal"/>
    <w:next w:val="Normal"/>
    <w:rsid w:val="009C08C2"/>
  </w:style>
  <w:style w:type="paragraph" w:styleId="Legenda">
    <w:name w:val="caption"/>
    <w:basedOn w:val="Normal"/>
    <w:next w:val="Normal"/>
    <w:qFormat/>
    <w:rsid w:val="009C08C2"/>
    <w:pPr>
      <w:spacing w:before="120" w:after="120"/>
    </w:pPr>
    <w:rPr>
      <w:b/>
      <w:bCs/>
    </w:rPr>
  </w:style>
  <w:style w:type="paragraph" w:styleId="Mapadodocumento">
    <w:name w:val="Document Map"/>
    <w:basedOn w:val="Normal"/>
    <w:semiHidden/>
    <w:rsid w:val="009C08C2"/>
    <w:pPr>
      <w:shd w:val="clear" w:color="auto" w:fill="000080"/>
    </w:pPr>
    <w:rPr>
      <w:rFonts w:ascii="Tahoma" w:hAnsi="Tahoma" w:cs="Tahoma"/>
    </w:rPr>
  </w:style>
  <w:style w:type="character" w:styleId="MquinadeescreverHTML">
    <w:name w:val="HTML Typewriter"/>
    <w:basedOn w:val="Tipodeletrapredefinidodopargrafo"/>
    <w:rsid w:val="009C08C2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9C08C2"/>
    <w:rPr>
      <w:rFonts w:ascii="Times New Roman" w:hAnsi="Times New Roman"/>
      <w:sz w:val="24"/>
      <w:szCs w:val="24"/>
    </w:rPr>
  </w:style>
  <w:style w:type="character" w:styleId="Nmerodelinha">
    <w:name w:val="line number"/>
    <w:basedOn w:val="Tipodeletrapredefinidodopargrafo"/>
    <w:rsid w:val="009C08C2"/>
  </w:style>
  <w:style w:type="paragraph" w:styleId="Primeiroavanodecorpodetexto">
    <w:name w:val="Body Text First Indent"/>
    <w:basedOn w:val="Corpodetexto"/>
    <w:rsid w:val="009C08C2"/>
    <w:pPr>
      <w:spacing w:after="120" w:line="240" w:lineRule="auto"/>
      <w:ind w:firstLine="210"/>
      <w:jc w:val="left"/>
    </w:pPr>
  </w:style>
  <w:style w:type="paragraph" w:styleId="Primeiroavanodecorpodetexto2">
    <w:name w:val="Body Text First Indent 2"/>
    <w:basedOn w:val="Avanodecorpodetexto"/>
    <w:rsid w:val="009C08C2"/>
    <w:pPr>
      <w:ind w:firstLine="210"/>
    </w:pPr>
  </w:style>
  <w:style w:type="character" w:styleId="Refdecomentrio">
    <w:name w:val="annotation reference"/>
    <w:basedOn w:val="Tipodeletrapredefinidodopargrafo"/>
    <w:uiPriority w:val="99"/>
    <w:semiHidden/>
    <w:rsid w:val="009C08C2"/>
    <w:rPr>
      <w:sz w:val="16"/>
      <w:szCs w:val="16"/>
    </w:rPr>
  </w:style>
  <w:style w:type="character" w:styleId="Refdenotadefim">
    <w:name w:val="endnote reference"/>
    <w:basedOn w:val="Tipodeletrapredefinidodopargrafo"/>
    <w:semiHidden/>
    <w:rsid w:val="009C08C2"/>
    <w:rPr>
      <w:vertAlign w:val="superscript"/>
    </w:rPr>
  </w:style>
  <w:style w:type="character" w:styleId="Refdenotaderodap">
    <w:name w:val="footnote reference"/>
    <w:basedOn w:val="Tipodeletrapredefinidodopargrafo"/>
    <w:uiPriority w:val="99"/>
    <w:semiHidden/>
    <w:rsid w:val="009C08C2"/>
    <w:rPr>
      <w:vertAlign w:val="superscript"/>
    </w:rPr>
  </w:style>
  <w:style w:type="paragraph" w:styleId="Rematedecarta">
    <w:name w:val="Closing"/>
    <w:basedOn w:val="Normal"/>
    <w:rsid w:val="009C08C2"/>
    <w:pPr>
      <w:ind w:left="4320"/>
    </w:pPr>
  </w:style>
  <w:style w:type="paragraph" w:styleId="Remetente">
    <w:name w:val="envelope return"/>
    <w:basedOn w:val="Normal"/>
    <w:rsid w:val="009C08C2"/>
    <w:pPr>
      <w:ind w:left="0"/>
    </w:pPr>
    <w:rPr>
      <w:rFonts w:cs="Arial"/>
    </w:rPr>
  </w:style>
  <w:style w:type="character" w:styleId="Forte">
    <w:name w:val="Strong"/>
    <w:basedOn w:val="Tipodeletrapredefinidodopargrafo"/>
    <w:qFormat/>
    <w:rsid w:val="009C08C2"/>
    <w:rPr>
      <w:b/>
      <w:bCs/>
    </w:rPr>
  </w:style>
  <w:style w:type="paragraph" w:styleId="Subttulo">
    <w:name w:val="Subtitle"/>
    <w:basedOn w:val="Normal"/>
    <w:qFormat/>
    <w:rsid w:val="009C08C2"/>
    <w:pPr>
      <w:spacing w:after="60"/>
      <w:jc w:val="center"/>
      <w:outlineLvl w:val="1"/>
    </w:pPr>
    <w:rPr>
      <w:rFonts w:cs="Arial"/>
      <w:sz w:val="24"/>
      <w:szCs w:val="24"/>
    </w:rPr>
  </w:style>
  <w:style w:type="character" w:styleId="TecladoHTML">
    <w:name w:val="HTML Keyboard"/>
    <w:basedOn w:val="Tipodeletrapredefinidodopargrafo"/>
    <w:rsid w:val="009C08C2"/>
    <w:rPr>
      <w:rFonts w:ascii="Courier New" w:hAnsi="Courier New"/>
      <w:sz w:val="20"/>
      <w:szCs w:val="20"/>
    </w:rPr>
  </w:style>
  <w:style w:type="paragraph" w:styleId="Textodebloco">
    <w:name w:val="Block Text"/>
    <w:basedOn w:val="Normal"/>
    <w:rsid w:val="009C08C2"/>
    <w:pPr>
      <w:spacing w:after="120"/>
      <w:ind w:left="1440" w:right="1440"/>
    </w:pPr>
  </w:style>
  <w:style w:type="paragraph" w:styleId="Textodecomentrio">
    <w:name w:val="annotation text"/>
    <w:basedOn w:val="Normal"/>
    <w:link w:val="TextodecomentrioCarcter"/>
    <w:rsid w:val="009C08C2"/>
  </w:style>
  <w:style w:type="paragraph" w:styleId="Textodemacro">
    <w:name w:val="macro"/>
    <w:semiHidden/>
    <w:rsid w:val="009C08C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835"/>
    </w:pPr>
    <w:rPr>
      <w:rFonts w:ascii="Courier New" w:eastAsia="Times New Roman" w:hAnsi="Courier New" w:cs="Courier New"/>
      <w:spacing w:val="-5"/>
      <w:lang w:eastAsia="en-US"/>
    </w:rPr>
  </w:style>
  <w:style w:type="paragraph" w:styleId="Textodenotadefim">
    <w:name w:val="endnote text"/>
    <w:basedOn w:val="Normal"/>
    <w:semiHidden/>
    <w:rsid w:val="009C08C2"/>
  </w:style>
  <w:style w:type="paragraph" w:styleId="Textodenotaderodap">
    <w:name w:val="footnote text"/>
    <w:basedOn w:val="Normal"/>
    <w:link w:val="TextodenotaderodapCarcter"/>
    <w:uiPriority w:val="99"/>
    <w:semiHidden/>
    <w:rsid w:val="009C08C2"/>
  </w:style>
  <w:style w:type="paragraph" w:styleId="Textosimples">
    <w:name w:val="Plain Text"/>
    <w:basedOn w:val="Normal"/>
    <w:rsid w:val="009C08C2"/>
    <w:rPr>
      <w:rFonts w:ascii="Courier New" w:hAnsi="Courier New" w:cs="Courier New"/>
    </w:rPr>
  </w:style>
  <w:style w:type="paragraph" w:styleId="Ttulo">
    <w:name w:val="Title"/>
    <w:basedOn w:val="Normal"/>
    <w:qFormat/>
    <w:rsid w:val="009C08C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anota">
    <w:name w:val="Note Heading"/>
    <w:basedOn w:val="Normal"/>
    <w:next w:val="Normal"/>
    <w:rsid w:val="009C08C2"/>
  </w:style>
  <w:style w:type="paragraph" w:styleId="Ttulodendicedeautoridades">
    <w:name w:val="toa heading"/>
    <w:basedOn w:val="Normal"/>
    <w:next w:val="Normal"/>
    <w:semiHidden/>
    <w:rsid w:val="009C08C2"/>
    <w:pPr>
      <w:spacing w:before="120"/>
    </w:pPr>
    <w:rPr>
      <w:rFonts w:cs="Arial"/>
      <w:b/>
      <w:bCs/>
      <w:sz w:val="24"/>
      <w:szCs w:val="24"/>
    </w:rPr>
  </w:style>
  <w:style w:type="paragraph" w:styleId="Ttulodendiceremissivo">
    <w:name w:val="index heading"/>
    <w:basedOn w:val="Normal"/>
    <w:next w:val="ndiceremissivo1"/>
    <w:semiHidden/>
    <w:rsid w:val="009C08C2"/>
    <w:rPr>
      <w:rFonts w:cs="Arial"/>
      <w:b/>
      <w:bCs/>
    </w:rPr>
  </w:style>
  <w:style w:type="character" w:styleId="VarivelHTML">
    <w:name w:val="HTML Variable"/>
    <w:basedOn w:val="Tipodeletrapredefinidodopargrafo"/>
    <w:rsid w:val="009C08C2"/>
    <w:rPr>
      <w:i/>
      <w:iCs/>
    </w:rPr>
  </w:style>
  <w:style w:type="paragraph" w:customStyle="1" w:styleId="Checkboxes">
    <w:name w:val="Checkboxes"/>
    <w:basedOn w:val="Normal"/>
    <w:rsid w:val="009C08C2"/>
    <w:pPr>
      <w:spacing w:before="360" w:after="360"/>
      <w:ind w:left="0"/>
    </w:pPr>
    <w:rPr>
      <w:rFonts w:ascii="Times New Roman" w:hAnsi="Times New Roman"/>
      <w:spacing w:val="0"/>
      <w:lang w:val="en-GB" w:eastAsia="pt-PT"/>
    </w:rPr>
  </w:style>
  <w:style w:type="character" w:customStyle="1" w:styleId="MessageHeaderLabel">
    <w:name w:val="Message Header Label"/>
    <w:rsid w:val="009C08C2"/>
    <w:rPr>
      <w:b/>
      <w:sz w:val="18"/>
    </w:rPr>
  </w:style>
  <w:style w:type="paragraph" w:customStyle="1" w:styleId="Baseparattulos">
    <w:name w:val="Base para títulos"/>
    <w:basedOn w:val="Corpodetexto"/>
    <w:next w:val="Corpodetexto"/>
    <w:rsid w:val="009C08C2"/>
    <w:pPr>
      <w:keepNext/>
      <w:keepLines/>
      <w:spacing w:after="0" w:line="240" w:lineRule="atLeast"/>
      <w:ind w:left="0"/>
      <w:jc w:val="left"/>
    </w:pPr>
    <w:rPr>
      <w:rFonts w:ascii="Garamond" w:hAnsi="Garamond"/>
      <w:spacing w:val="0"/>
      <w:kern w:val="20"/>
      <w:sz w:val="22"/>
      <w:lang w:eastAsia="pt-PT"/>
    </w:rPr>
  </w:style>
  <w:style w:type="table" w:styleId="Tabelacomgrelha">
    <w:name w:val="Table Grid"/>
    <w:basedOn w:val="Tabelanormal"/>
    <w:uiPriority w:val="39"/>
    <w:rsid w:val="00A54E06"/>
    <w:pPr>
      <w:ind w:left="83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terCarcterCharCharCarcterCarcterCharCharCarcterCarcterCarcterCharCharCarcterCarcter1CharCharCarcterCarcterCharCarcterCarcterCarcterCharCharCarcterCharCharCarcter">
    <w:name w:val="Carácter Carácter Char Char Carácter Carácter Char Char Carácter Carácter Carácter Char Char Carácter Carácter1 Char Char Carácter Carácter Char Carácter Carácter Carácter Char Char Carácter Char Char Carácter"/>
    <w:basedOn w:val="Normal"/>
    <w:rsid w:val="00C159AC"/>
    <w:pPr>
      <w:tabs>
        <w:tab w:val="num" w:pos="1417"/>
      </w:tabs>
      <w:spacing w:before="120" w:after="120"/>
      <w:ind w:left="1417" w:hanging="708"/>
      <w:jc w:val="both"/>
    </w:pPr>
  </w:style>
  <w:style w:type="paragraph" w:customStyle="1" w:styleId="CarcterCharCharCarcterCarcter">
    <w:name w:val="Carácter Char Char Carácter Carácter"/>
    <w:basedOn w:val="Normal"/>
    <w:rsid w:val="00364BBB"/>
    <w:pPr>
      <w:tabs>
        <w:tab w:val="num" w:pos="1417"/>
      </w:tabs>
      <w:spacing w:before="120" w:after="120"/>
      <w:ind w:left="1417" w:hanging="708"/>
      <w:jc w:val="both"/>
    </w:pPr>
    <w:rPr>
      <w:rFonts w:ascii="Times New Roman" w:hAnsi="Times New Roman"/>
      <w:snapToGrid w:val="0"/>
      <w:spacing w:val="0"/>
      <w:sz w:val="24"/>
      <w:szCs w:val="24"/>
      <w:lang w:val="en-GB" w:eastAsia="en-GB"/>
    </w:rPr>
  </w:style>
  <w:style w:type="paragraph" w:customStyle="1" w:styleId="CarcterCharChar">
    <w:name w:val="Carácter Char Char"/>
    <w:basedOn w:val="Normal"/>
    <w:rsid w:val="00566150"/>
    <w:pPr>
      <w:tabs>
        <w:tab w:val="num" w:pos="1417"/>
      </w:tabs>
      <w:spacing w:before="120" w:after="120"/>
      <w:ind w:left="1417" w:hanging="708"/>
      <w:jc w:val="both"/>
    </w:pPr>
    <w:rPr>
      <w:rFonts w:ascii="Times New Roman" w:hAnsi="Times New Roman"/>
      <w:snapToGrid w:val="0"/>
      <w:spacing w:val="0"/>
      <w:sz w:val="24"/>
      <w:szCs w:val="24"/>
      <w:lang w:val="en-GB" w:eastAsia="en-GB"/>
    </w:rPr>
  </w:style>
  <w:style w:type="paragraph" w:styleId="Textodebalo">
    <w:name w:val="Balloon Text"/>
    <w:basedOn w:val="Normal"/>
    <w:semiHidden/>
    <w:rsid w:val="00C377D4"/>
    <w:rPr>
      <w:rFonts w:ascii="Tahoma" w:hAnsi="Tahoma" w:cs="Tahoma"/>
      <w:sz w:val="16"/>
      <w:szCs w:val="16"/>
    </w:rPr>
  </w:style>
  <w:style w:type="paragraph" w:customStyle="1" w:styleId="CharChar1">
    <w:name w:val="Char Char1"/>
    <w:basedOn w:val="Normal"/>
    <w:rsid w:val="00626C83"/>
    <w:pPr>
      <w:tabs>
        <w:tab w:val="num" w:pos="1417"/>
      </w:tabs>
      <w:spacing w:before="120" w:after="120"/>
      <w:ind w:left="1417" w:hanging="708"/>
      <w:jc w:val="both"/>
    </w:pPr>
    <w:rPr>
      <w:rFonts w:ascii="Times New Roman" w:hAnsi="Times New Roman"/>
      <w:snapToGrid w:val="0"/>
      <w:spacing w:val="0"/>
      <w:sz w:val="24"/>
      <w:szCs w:val="24"/>
      <w:lang w:val="en-GB" w:eastAsia="en-GB"/>
    </w:rPr>
  </w:style>
  <w:style w:type="paragraph" w:customStyle="1" w:styleId="CarcterCarcterCharCharCarcterCarcterCharCharCarcterCarcterCarcterCharCharCarcterCarcter1CharCharCarcterCarcterCharCarcterCarcterCarcterCharCharCarcterCharChar">
    <w:name w:val="Carácter Carácter Char Char Carácter Carácter Char Char Carácter Carácter Carácter Char Char Carácter Carácter1 Char Char Carácter Carácter Char Carácter Carácter Carácter Char Char Carácter Char Char"/>
    <w:basedOn w:val="Normal"/>
    <w:rsid w:val="00423BF5"/>
    <w:pPr>
      <w:tabs>
        <w:tab w:val="num" w:pos="1417"/>
      </w:tabs>
      <w:spacing w:before="120" w:after="120"/>
      <w:ind w:left="1417" w:hanging="708"/>
      <w:jc w:val="both"/>
    </w:pPr>
    <w:rPr>
      <w:rFonts w:ascii="Times New Roman" w:hAnsi="Times New Roman"/>
      <w:snapToGrid w:val="0"/>
      <w:spacing w:val="0"/>
      <w:sz w:val="24"/>
      <w:szCs w:val="24"/>
      <w:lang w:val="en-GB" w:eastAsia="en-GB"/>
    </w:rPr>
  </w:style>
  <w:style w:type="paragraph" w:customStyle="1" w:styleId="Default">
    <w:name w:val="Default"/>
    <w:rsid w:val="003D370C"/>
    <w:pPr>
      <w:autoSpaceDE w:val="0"/>
      <w:autoSpaceDN w:val="0"/>
      <w:adjustRightInd w:val="0"/>
    </w:pPr>
    <w:rPr>
      <w:rFonts w:ascii="Trebuchet MS" w:eastAsia="Times New Roman" w:hAnsi="Trebuchet MS" w:cs="Trebuchet MS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409F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</w:rPr>
  </w:style>
  <w:style w:type="numbering" w:styleId="111111">
    <w:name w:val="Outline List 2"/>
    <w:basedOn w:val="Semlista"/>
    <w:rsid w:val="008E7C75"/>
    <w:pPr>
      <w:numPr>
        <w:numId w:val="11"/>
      </w:numPr>
    </w:pPr>
  </w:style>
  <w:style w:type="numbering" w:customStyle="1" w:styleId="Estilo1">
    <w:name w:val="Estilo1"/>
    <w:rsid w:val="008E7C75"/>
    <w:pPr>
      <w:numPr>
        <w:numId w:val="12"/>
      </w:numPr>
    </w:p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AB409F"/>
    <w:rPr>
      <w:rFonts w:ascii="Arial" w:hAnsi="Arial"/>
      <w:spacing w:val="-5"/>
      <w:lang w:eastAsia="en-US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473DBE"/>
    <w:rPr>
      <w:rFonts w:ascii="Arial" w:hAnsi="Arial"/>
      <w:spacing w:val="-5"/>
      <w:lang w:eastAsia="en-US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E31311"/>
    <w:rPr>
      <w:rFonts w:ascii="Arial" w:eastAsia="Times New Roman" w:hAnsi="Arial"/>
      <w:spacing w:val="-5"/>
      <w:sz w:val="18"/>
      <w:lang w:eastAsia="en-US"/>
    </w:rPr>
  </w:style>
  <w:style w:type="paragraph" w:styleId="SemEspaamento">
    <w:name w:val="No Spacing"/>
    <w:link w:val="SemEspaamentoCarcter"/>
    <w:uiPriority w:val="1"/>
    <w:qFormat/>
    <w:rsid w:val="00506F49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506F49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txtpreto121">
    <w:name w:val="txtpreto121"/>
    <w:basedOn w:val="Tipodeletrapredefinidodopargrafo"/>
    <w:rsid w:val="003B0B5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apple-converted-space">
    <w:name w:val="apple-converted-space"/>
    <w:basedOn w:val="Tipodeletrapredefinidodopargrafo"/>
    <w:rsid w:val="00B650EB"/>
  </w:style>
  <w:style w:type="character" w:customStyle="1" w:styleId="TextodecomentrioCarcter">
    <w:name w:val="Texto de comentário Carácter"/>
    <w:basedOn w:val="Tipodeletrapredefinidodopargrafo"/>
    <w:link w:val="Textodecomentrio"/>
    <w:rsid w:val="00776757"/>
    <w:rPr>
      <w:rFonts w:ascii="Arial" w:eastAsia="Times New Roman" w:hAnsi="Arial"/>
      <w:spacing w:val="-5"/>
      <w:lang w:eastAsia="en-US"/>
    </w:rPr>
  </w:style>
  <w:style w:type="paragraph" w:styleId="Reviso">
    <w:name w:val="Revision"/>
    <w:hidden/>
    <w:uiPriority w:val="99"/>
    <w:semiHidden/>
    <w:rsid w:val="00B84F6D"/>
    <w:rPr>
      <w:rFonts w:ascii="Arial" w:eastAsia="Times New Roman" w:hAnsi="Arial"/>
      <w:spacing w:val="-5"/>
      <w:lang w:eastAsia="en-US"/>
    </w:rPr>
  </w:style>
  <w:style w:type="paragraph" w:customStyle="1" w:styleId="CM4">
    <w:name w:val="CM4"/>
    <w:basedOn w:val="Normal"/>
    <w:next w:val="Normal"/>
    <w:uiPriority w:val="99"/>
    <w:rsid w:val="000120EA"/>
    <w:pPr>
      <w:autoSpaceDE w:val="0"/>
      <w:autoSpaceDN w:val="0"/>
      <w:adjustRightInd w:val="0"/>
      <w:ind w:left="0"/>
    </w:pPr>
    <w:rPr>
      <w:rFonts w:ascii="EUAlbertina" w:eastAsiaTheme="minorHAnsi" w:hAnsi="EUAlbertina" w:cstheme="minorBidi"/>
      <w:spacing w:val="0"/>
      <w:sz w:val="24"/>
      <w:szCs w:val="24"/>
    </w:rPr>
  </w:style>
  <w:style w:type="paragraph" w:styleId="Ttulodondice">
    <w:name w:val="TOC Heading"/>
    <w:basedOn w:val="Cabealho1"/>
    <w:next w:val="Normal"/>
    <w:uiPriority w:val="39"/>
    <w:unhideWhenUsed/>
    <w:qFormat/>
    <w:rsid w:val="000120EA"/>
    <w:pPr>
      <w:spacing w:before="240" w:after="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pacing w:val="0"/>
      <w:kern w:val="0"/>
      <w:sz w:val="32"/>
      <w:szCs w:val="32"/>
      <w:lang w:eastAsia="pt-PT"/>
    </w:rPr>
  </w:style>
  <w:style w:type="character" w:customStyle="1" w:styleId="CorpodetextoCarcter">
    <w:name w:val="Corpo de texto Carácter"/>
    <w:basedOn w:val="Tipodeletrapredefinidodopargrafo"/>
    <w:link w:val="Corpodetexto"/>
    <w:rsid w:val="006E01CB"/>
    <w:rPr>
      <w:rFonts w:ascii="Arial" w:eastAsia="Times New Roman" w:hAnsi="Arial"/>
      <w:spacing w:val="-5"/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cter"/>
    <w:semiHidden/>
    <w:unhideWhenUsed/>
    <w:rsid w:val="00850728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semiHidden/>
    <w:rsid w:val="00850728"/>
    <w:rPr>
      <w:rFonts w:ascii="Arial" w:eastAsia="Times New Roman" w:hAnsi="Arial"/>
      <w:b/>
      <w:bCs/>
      <w:spacing w:val="-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1B9"/>
    <w:pPr>
      <w:ind w:left="835"/>
    </w:pPr>
    <w:rPr>
      <w:rFonts w:ascii="Arial" w:eastAsia="Times New Roman" w:hAnsi="Arial"/>
      <w:spacing w:val="-5"/>
      <w:lang w:eastAsia="en-US"/>
    </w:rPr>
  </w:style>
  <w:style w:type="paragraph" w:styleId="Cabealho1">
    <w:name w:val="heading 1"/>
    <w:basedOn w:val="Normal"/>
    <w:next w:val="Corpodetexto"/>
    <w:qFormat/>
    <w:rsid w:val="009C08C2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Cabealho2">
    <w:name w:val="heading 2"/>
    <w:basedOn w:val="Normal"/>
    <w:next w:val="Corpodetexto"/>
    <w:qFormat/>
    <w:rsid w:val="009C08C2"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Cabealho3">
    <w:name w:val="heading 3"/>
    <w:basedOn w:val="Normal"/>
    <w:next w:val="Corpodetexto"/>
    <w:qFormat/>
    <w:rsid w:val="009C08C2"/>
    <w:pPr>
      <w:keepNext/>
      <w:keepLines/>
      <w:spacing w:line="180" w:lineRule="atLeast"/>
      <w:ind w:left="1195"/>
      <w:outlineLvl w:val="2"/>
    </w:pPr>
    <w:rPr>
      <w:rFonts w:ascii="Arial Black" w:hAnsi="Arial Black"/>
      <w:kern w:val="28"/>
    </w:rPr>
  </w:style>
  <w:style w:type="paragraph" w:styleId="Cabealho4">
    <w:name w:val="heading 4"/>
    <w:basedOn w:val="Normal"/>
    <w:next w:val="Corpodetexto"/>
    <w:qFormat/>
    <w:rsid w:val="009C08C2"/>
    <w:pPr>
      <w:keepNext/>
      <w:keepLines/>
      <w:spacing w:line="180" w:lineRule="atLeast"/>
      <w:ind w:left="1555"/>
      <w:outlineLvl w:val="3"/>
    </w:pPr>
    <w:rPr>
      <w:rFonts w:ascii="Arial Black" w:hAnsi="Arial Black"/>
      <w:spacing w:val="-2"/>
      <w:kern w:val="28"/>
      <w:sz w:val="18"/>
    </w:rPr>
  </w:style>
  <w:style w:type="paragraph" w:styleId="Cabealho5">
    <w:name w:val="heading 5"/>
    <w:basedOn w:val="Normal"/>
    <w:next w:val="Corpodetexto"/>
    <w:qFormat/>
    <w:rsid w:val="009C08C2"/>
    <w:pPr>
      <w:keepNext/>
      <w:keepLines/>
      <w:spacing w:line="180" w:lineRule="atLeast"/>
      <w:ind w:left="1915"/>
      <w:outlineLvl w:val="4"/>
    </w:pPr>
    <w:rPr>
      <w:rFonts w:ascii="Arial Black" w:hAnsi="Arial Black"/>
      <w:spacing w:val="-2"/>
      <w:kern w:val="28"/>
      <w:sz w:val="18"/>
    </w:rPr>
  </w:style>
  <w:style w:type="paragraph" w:styleId="Cabealho6">
    <w:name w:val="heading 6"/>
    <w:basedOn w:val="Normal"/>
    <w:next w:val="Normal"/>
    <w:qFormat/>
    <w:rsid w:val="009C08C2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Cabealho7">
    <w:name w:val="heading 7"/>
    <w:basedOn w:val="Normal"/>
    <w:next w:val="Normal"/>
    <w:qFormat/>
    <w:rsid w:val="009C08C2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Cabealho8">
    <w:name w:val="heading 8"/>
    <w:basedOn w:val="Normal"/>
    <w:next w:val="Normal"/>
    <w:qFormat/>
    <w:rsid w:val="009C08C2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Cabealho9">
    <w:name w:val="heading 9"/>
    <w:basedOn w:val="Normal"/>
    <w:next w:val="Normal"/>
    <w:qFormat/>
    <w:rsid w:val="009C08C2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arcter"/>
    <w:rsid w:val="009C08C2"/>
    <w:pPr>
      <w:spacing w:after="220" w:line="180" w:lineRule="atLeast"/>
      <w:jc w:val="both"/>
    </w:pPr>
  </w:style>
  <w:style w:type="character" w:customStyle="1" w:styleId="Caixadeverificao">
    <w:name w:val="Caixa de verificação"/>
    <w:rsid w:val="009C08C2"/>
    <w:rPr>
      <w:rFonts w:ascii="Times New Roman" w:hAnsi="Times New Roman"/>
      <w:sz w:val="22"/>
      <w:lang w:bidi="ar-SA"/>
    </w:rPr>
  </w:style>
  <w:style w:type="paragraph" w:customStyle="1" w:styleId="Nomedaempresa">
    <w:name w:val="Nome da empresa"/>
    <w:basedOn w:val="Normal"/>
    <w:rsid w:val="009C08C2"/>
    <w:pPr>
      <w:keepLines/>
      <w:shd w:val="solid" w:color="auto" w:fill="auto"/>
      <w:spacing w:line="320" w:lineRule="exact"/>
      <w:ind w:left="0"/>
    </w:pPr>
    <w:rPr>
      <w:rFonts w:ascii="Arial Black" w:hAnsi="Arial Black"/>
      <w:color w:val="FFFFFF"/>
      <w:spacing w:val="-15"/>
      <w:sz w:val="32"/>
    </w:rPr>
  </w:style>
  <w:style w:type="paragraph" w:customStyle="1" w:styleId="Nomedodocumento">
    <w:name w:val="Nome do documento"/>
    <w:basedOn w:val="Normal"/>
    <w:rsid w:val="009C08C2"/>
    <w:pPr>
      <w:keepNext/>
      <w:keepLines/>
      <w:spacing w:before="400" w:after="120" w:line="240" w:lineRule="atLeast"/>
      <w:ind w:left="0"/>
    </w:pPr>
    <w:rPr>
      <w:rFonts w:ascii="Arial Black" w:hAnsi="Arial Black"/>
      <w:spacing w:val="-100"/>
      <w:kern w:val="28"/>
      <w:sz w:val="108"/>
    </w:rPr>
  </w:style>
  <w:style w:type="character" w:styleId="nfase">
    <w:name w:val="Emphasis"/>
    <w:qFormat/>
    <w:rsid w:val="009C08C2"/>
    <w:rPr>
      <w:rFonts w:ascii="Arial Black" w:hAnsi="Arial Black"/>
      <w:sz w:val="18"/>
      <w:lang w:bidi="ar-SA"/>
    </w:rPr>
  </w:style>
  <w:style w:type="paragraph" w:customStyle="1" w:styleId="Cabealho-base">
    <w:name w:val="Cabeçalho - base"/>
    <w:basedOn w:val="Corpodetexto"/>
    <w:rsid w:val="009C08C2"/>
    <w:pPr>
      <w:keepLines/>
      <w:tabs>
        <w:tab w:val="center" w:pos="4320"/>
        <w:tab w:val="right" w:pos="8640"/>
      </w:tabs>
      <w:spacing w:after="0"/>
    </w:pPr>
  </w:style>
  <w:style w:type="paragraph" w:styleId="Rodap">
    <w:name w:val="footer"/>
    <w:basedOn w:val="Cabealho-base"/>
    <w:link w:val="RodapCarcter"/>
    <w:uiPriority w:val="99"/>
    <w:rsid w:val="009C08C2"/>
    <w:pPr>
      <w:spacing w:before="600"/>
    </w:pPr>
    <w:rPr>
      <w:sz w:val="18"/>
    </w:rPr>
  </w:style>
  <w:style w:type="paragraph" w:styleId="Cabealho">
    <w:name w:val="header"/>
    <w:basedOn w:val="Cabealho-base"/>
    <w:link w:val="CabealhoCarcter"/>
    <w:uiPriority w:val="99"/>
    <w:rsid w:val="009C08C2"/>
    <w:pPr>
      <w:spacing w:after="600"/>
    </w:pPr>
  </w:style>
  <w:style w:type="paragraph" w:customStyle="1" w:styleId="Ttulo-base">
    <w:name w:val="Título - base"/>
    <w:basedOn w:val="Corpodetexto"/>
    <w:next w:val="Corpodetexto"/>
    <w:rsid w:val="009C08C2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Cabealhodamensagem">
    <w:name w:val="Message Header"/>
    <w:basedOn w:val="Corpodetexto"/>
    <w:rsid w:val="009C08C2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Cabealhodamens-primeiralinha">
    <w:name w:val="Cabeçalho da mens. - primeira linha"/>
    <w:basedOn w:val="Cabealhodamensagem"/>
    <w:next w:val="Cabealhodamensagem"/>
    <w:rsid w:val="009C08C2"/>
  </w:style>
  <w:style w:type="character" w:customStyle="1" w:styleId="Cabealhodamens-nome">
    <w:name w:val="Cabeçalho da mens. - nome"/>
    <w:rsid w:val="009C08C2"/>
    <w:rPr>
      <w:rFonts w:ascii="Arial Black" w:hAnsi="Arial Black"/>
      <w:sz w:val="18"/>
      <w:lang w:bidi="ar-SA"/>
    </w:rPr>
  </w:style>
  <w:style w:type="paragraph" w:customStyle="1" w:styleId="Cabealhodamens-ltimalinha">
    <w:name w:val="Cabeçalho da mens. - última linha"/>
    <w:basedOn w:val="Cabealhodamensagem"/>
    <w:next w:val="Corpodetexto"/>
    <w:rsid w:val="009C08C2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541"/>
      </w:tabs>
      <w:spacing w:before="120" w:after="120"/>
      <w:ind w:left="835" w:firstLine="0"/>
    </w:pPr>
  </w:style>
  <w:style w:type="paragraph" w:styleId="Avanonormal">
    <w:name w:val="Normal Indent"/>
    <w:basedOn w:val="Normal"/>
    <w:rsid w:val="009C08C2"/>
    <w:pPr>
      <w:ind w:left="1555"/>
    </w:pPr>
  </w:style>
  <w:style w:type="character" w:styleId="Nmerodepgina">
    <w:name w:val="page number"/>
    <w:uiPriority w:val="99"/>
    <w:rsid w:val="009C08C2"/>
    <w:rPr>
      <w:sz w:val="18"/>
      <w:lang w:bidi="ar-SA"/>
    </w:rPr>
  </w:style>
  <w:style w:type="paragraph" w:customStyle="1" w:styleId="Endereodoremetente">
    <w:name w:val="Endereço do remetente"/>
    <w:basedOn w:val="Normal"/>
    <w:rsid w:val="009C08C2"/>
    <w:pPr>
      <w:keepLines/>
      <w:spacing w:line="200" w:lineRule="atLeast"/>
      <w:ind w:left="0"/>
    </w:pPr>
    <w:rPr>
      <w:spacing w:val="-2"/>
      <w:sz w:val="16"/>
    </w:rPr>
  </w:style>
  <w:style w:type="paragraph" w:customStyle="1" w:styleId="Nomedeassinatura">
    <w:name w:val="Nome de assinatura"/>
    <w:basedOn w:val="Normal"/>
    <w:next w:val="Normal"/>
    <w:rsid w:val="009C08C2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basedOn w:val="Tipodeletrapredefinidodopargrafo"/>
    <w:rsid w:val="009C08C2"/>
    <w:rPr>
      <w:rFonts w:ascii="Arial Black" w:hAnsi="Arial Black"/>
      <w:color w:val="FFFFFF"/>
      <w:spacing w:val="-10"/>
      <w:position w:val="0"/>
      <w:sz w:val="19"/>
      <w:bdr w:val="none" w:sz="0" w:space="0" w:color="auto"/>
      <w:shd w:val="solid" w:color="auto" w:fill="auto"/>
    </w:rPr>
  </w:style>
  <w:style w:type="paragraph" w:styleId="Lista">
    <w:name w:val="List"/>
    <w:basedOn w:val="Normal"/>
    <w:rsid w:val="009C08C2"/>
    <w:pPr>
      <w:ind w:left="1195" w:hanging="360"/>
    </w:pPr>
  </w:style>
  <w:style w:type="paragraph" w:styleId="Lista2">
    <w:name w:val="List 2"/>
    <w:basedOn w:val="Normal"/>
    <w:rsid w:val="009C08C2"/>
    <w:pPr>
      <w:ind w:left="1555" w:hanging="360"/>
    </w:pPr>
  </w:style>
  <w:style w:type="paragraph" w:styleId="Lista3">
    <w:name w:val="List 3"/>
    <w:basedOn w:val="Normal"/>
    <w:rsid w:val="009C08C2"/>
    <w:pPr>
      <w:ind w:left="1915" w:hanging="360"/>
    </w:pPr>
  </w:style>
  <w:style w:type="paragraph" w:styleId="Lista4">
    <w:name w:val="List 4"/>
    <w:basedOn w:val="Normal"/>
    <w:rsid w:val="009C08C2"/>
    <w:pPr>
      <w:ind w:left="2275" w:hanging="360"/>
    </w:pPr>
  </w:style>
  <w:style w:type="paragraph" w:styleId="Lista5">
    <w:name w:val="List 5"/>
    <w:basedOn w:val="Normal"/>
    <w:rsid w:val="009C08C2"/>
    <w:pPr>
      <w:ind w:left="2635" w:hanging="360"/>
    </w:pPr>
  </w:style>
  <w:style w:type="paragraph" w:styleId="Listacommarcas">
    <w:name w:val="List Bullet"/>
    <w:basedOn w:val="Normal"/>
    <w:autoRedefine/>
    <w:rsid w:val="009C08C2"/>
    <w:pPr>
      <w:numPr>
        <w:numId w:val="1"/>
      </w:numPr>
      <w:ind w:left="1195"/>
    </w:pPr>
  </w:style>
  <w:style w:type="paragraph" w:styleId="Listacommarcas2">
    <w:name w:val="List Bullet 2"/>
    <w:basedOn w:val="Normal"/>
    <w:autoRedefine/>
    <w:rsid w:val="009C08C2"/>
    <w:pPr>
      <w:numPr>
        <w:numId w:val="2"/>
      </w:numPr>
      <w:ind w:left="1555"/>
    </w:pPr>
  </w:style>
  <w:style w:type="paragraph" w:styleId="Listacommarcas3">
    <w:name w:val="List Bullet 3"/>
    <w:basedOn w:val="Normal"/>
    <w:autoRedefine/>
    <w:rsid w:val="009C08C2"/>
    <w:pPr>
      <w:numPr>
        <w:numId w:val="3"/>
      </w:numPr>
      <w:ind w:left="1915"/>
    </w:pPr>
  </w:style>
  <w:style w:type="paragraph" w:styleId="Listacommarcas4">
    <w:name w:val="List Bullet 4"/>
    <w:basedOn w:val="Normal"/>
    <w:autoRedefine/>
    <w:rsid w:val="009C08C2"/>
    <w:pPr>
      <w:numPr>
        <w:numId w:val="4"/>
      </w:numPr>
      <w:ind w:left="2275"/>
    </w:pPr>
  </w:style>
  <w:style w:type="paragraph" w:styleId="Listacommarcas5">
    <w:name w:val="List Bullet 5"/>
    <w:basedOn w:val="Normal"/>
    <w:autoRedefine/>
    <w:rsid w:val="009C08C2"/>
    <w:pPr>
      <w:numPr>
        <w:numId w:val="5"/>
      </w:numPr>
      <w:ind w:left="2635"/>
    </w:pPr>
  </w:style>
  <w:style w:type="paragraph" w:styleId="Listadecont">
    <w:name w:val="List Continue"/>
    <w:basedOn w:val="Normal"/>
    <w:rsid w:val="009C08C2"/>
    <w:pPr>
      <w:spacing w:after="120"/>
      <w:ind w:left="1195"/>
    </w:pPr>
  </w:style>
  <w:style w:type="paragraph" w:styleId="Listadecont2">
    <w:name w:val="List Continue 2"/>
    <w:basedOn w:val="Normal"/>
    <w:rsid w:val="009C08C2"/>
    <w:pPr>
      <w:spacing w:after="120"/>
      <w:ind w:left="1555"/>
    </w:pPr>
  </w:style>
  <w:style w:type="paragraph" w:styleId="Listadecont3">
    <w:name w:val="List Continue 3"/>
    <w:basedOn w:val="Normal"/>
    <w:rsid w:val="009C08C2"/>
    <w:pPr>
      <w:spacing w:after="120"/>
      <w:ind w:left="1915"/>
    </w:pPr>
  </w:style>
  <w:style w:type="paragraph" w:styleId="Listadecont4">
    <w:name w:val="List Continue 4"/>
    <w:basedOn w:val="Normal"/>
    <w:rsid w:val="009C08C2"/>
    <w:pPr>
      <w:spacing w:after="120"/>
      <w:ind w:left="2275"/>
    </w:pPr>
  </w:style>
  <w:style w:type="paragraph" w:styleId="Listadecont5">
    <w:name w:val="List Continue 5"/>
    <w:basedOn w:val="Normal"/>
    <w:rsid w:val="009C08C2"/>
    <w:pPr>
      <w:spacing w:after="120"/>
      <w:ind w:left="2635"/>
    </w:pPr>
  </w:style>
  <w:style w:type="paragraph" w:styleId="Listanumerada">
    <w:name w:val="List Number"/>
    <w:basedOn w:val="Normal"/>
    <w:rsid w:val="009C08C2"/>
    <w:pPr>
      <w:numPr>
        <w:numId w:val="6"/>
      </w:numPr>
      <w:ind w:left="1195"/>
    </w:pPr>
  </w:style>
  <w:style w:type="paragraph" w:styleId="Listanumerada2">
    <w:name w:val="List Number 2"/>
    <w:basedOn w:val="Normal"/>
    <w:rsid w:val="009C08C2"/>
    <w:pPr>
      <w:numPr>
        <w:numId w:val="7"/>
      </w:numPr>
      <w:ind w:left="1555"/>
    </w:pPr>
  </w:style>
  <w:style w:type="paragraph" w:styleId="Listanumerada3">
    <w:name w:val="List Number 3"/>
    <w:basedOn w:val="Normal"/>
    <w:rsid w:val="009C08C2"/>
    <w:pPr>
      <w:numPr>
        <w:numId w:val="8"/>
      </w:numPr>
      <w:ind w:left="1915"/>
    </w:pPr>
  </w:style>
  <w:style w:type="paragraph" w:styleId="Listanumerada4">
    <w:name w:val="List Number 4"/>
    <w:basedOn w:val="Normal"/>
    <w:rsid w:val="009C08C2"/>
    <w:pPr>
      <w:numPr>
        <w:numId w:val="9"/>
      </w:numPr>
      <w:ind w:left="2275"/>
    </w:pPr>
  </w:style>
  <w:style w:type="paragraph" w:styleId="Listanumerada5">
    <w:name w:val="List Number 5"/>
    <w:basedOn w:val="Normal"/>
    <w:rsid w:val="009C08C2"/>
    <w:pPr>
      <w:numPr>
        <w:numId w:val="10"/>
      </w:numPr>
      <w:ind w:left="2635"/>
    </w:pPr>
  </w:style>
  <w:style w:type="character" w:styleId="AcrnimoHTML">
    <w:name w:val="HTML Acronym"/>
    <w:basedOn w:val="Tipodeletrapredefinidodopargrafo"/>
    <w:rsid w:val="009C08C2"/>
  </w:style>
  <w:style w:type="paragraph" w:styleId="Assinatura">
    <w:name w:val="Signature"/>
    <w:basedOn w:val="Normal"/>
    <w:rsid w:val="009C08C2"/>
    <w:pPr>
      <w:ind w:left="4320"/>
    </w:pPr>
  </w:style>
  <w:style w:type="paragraph" w:styleId="Assinaturadecorreioelectrnico">
    <w:name w:val="E-mail Signature"/>
    <w:basedOn w:val="Normal"/>
    <w:rsid w:val="009C08C2"/>
  </w:style>
  <w:style w:type="paragraph" w:styleId="Avanodecorpodetexto">
    <w:name w:val="Body Text Indent"/>
    <w:basedOn w:val="Normal"/>
    <w:rsid w:val="009C08C2"/>
    <w:pPr>
      <w:spacing w:after="120"/>
      <w:ind w:left="360"/>
    </w:pPr>
  </w:style>
  <w:style w:type="paragraph" w:styleId="Avanodecorpodetexto2">
    <w:name w:val="Body Text Indent 2"/>
    <w:basedOn w:val="Normal"/>
    <w:rsid w:val="009C08C2"/>
    <w:pPr>
      <w:spacing w:after="120" w:line="480" w:lineRule="auto"/>
      <w:ind w:left="360"/>
    </w:pPr>
  </w:style>
  <w:style w:type="paragraph" w:styleId="Avanodecorpodetexto3">
    <w:name w:val="Body Text Indent 3"/>
    <w:basedOn w:val="Normal"/>
    <w:rsid w:val="009C08C2"/>
    <w:pPr>
      <w:spacing w:after="120"/>
      <w:ind w:left="360"/>
    </w:pPr>
    <w:rPr>
      <w:sz w:val="16"/>
      <w:szCs w:val="16"/>
    </w:rPr>
  </w:style>
  <w:style w:type="character" w:styleId="CitaoHTML">
    <w:name w:val="HTML Cite"/>
    <w:basedOn w:val="Tipodeletrapredefinidodopargrafo"/>
    <w:rsid w:val="009C08C2"/>
    <w:rPr>
      <w:i/>
      <w:iCs/>
    </w:rPr>
  </w:style>
  <w:style w:type="character" w:styleId="CdigoHTML">
    <w:name w:val="HTML Code"/>
    <w:basedOn w:val="Tipodeletrapredefinidodopargrafo"/>
    <w:rsid w:val="009C08C2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rsid w:val="009C08C2"/>
    <w:pPr>
      <w:spacing w:after="120" w:line="480" w:lineRule="auto"/>
    </w:pPr>
  </w:style>
  <w:style w:type="paragraph" w:styleId="Corpodetexto3">
    <w:name w:val="Body Text 3"/>
    <w:basedOn w:val="Normal"/>
    <w:rsid w:val="009C08C2"/>
    <w:pPr>
      <w:spacing w:after="120"/>
    </w:pPr>
    <w:rPr>
      <w:sz w:val="16"/>
      <w:szCs w:val="16"/>
    </w:rPr>
  </w:style>
  <w:style w:type="paragraph" w:styleId="Data">
    <w:name w:val="Date"/>
    <w:basedOn w:val="Normal"/>
    <w:next w:val="Normal"/>
    <w:rsid w:val="009C08C2"/>
  </w:style>
  <w:style w:type="character" w:styleId="DefinioHTML">
    <w:name w:val="HTML Definition"/>
    <w:basedOn w:val="Tipodeletrapredefinidodopargrafo"/>
    <w:rsid w:val="009C08C2"/>
    <w:rPr>
      <w:i/>
      <w:iCs/>
    </w:rPr>
  </w:style>
  <w:style w:type="paragraph" w:styleId="Destinatrio">
    <w:name w:val="envelope address"/>
    <w:basedOn w:val="Normal"/>
    <w:rsid w:val="009C08C2"/>
    <w:pPr>
      <w:framePr w:w="7938" w:h="1984" w:hRule="exact" w:hSpace="141" w:wrap="auto" w:hAnchor="page" w:xAlign="center" w:yAlign="bottom"/>
      <w:ind w:left="2835"/>
    </w:pPr>
    <w:rPr>
      <w:rFonts w:cs="Arial"/>
      <w:sz w:val="24"/>
      <w:szCs w:val="24"/>
    </w:rPr>
  </w:style>
  <w:style w:type="paragraph" w:styleId="EndereoHTML">
    <w:name w:val="HTML Address"/>
    <w:basedOn w:val="Normal"/>
    <w:rsid w:val="009C08C2"/>
    <w:rPr>
      <w:i/>
      <w:iCs/>
    </w:rPr>
  </w:style>
  <w:style w:type="character" w:styleId="ExemplodeHTML">
    <w:name w:val="HTML Sample"/>
    <w:basedOn w:val="Tipodeletrapredefinidodopargrafo"/>
    <w:rsid w:val="009C08C2"/>
    <w:rPr>
      <w:rFonts w:ascii="Courier New" w:hAnsi="Courier New"/>
    </w:rPr>
  </w:style>
  <w:style w:type="character" w:styleId="Hiperligao">
    <w:name w:val="Hyperlink"/>
    <w:basedOn w:val="Tipodeletrapredefinidodopargrafo"/>
    <w:uiPriority w:val="99"/>
    <w:rsid w:val="009C08C2"/>
    <w:rPr>
      <w:color w:val="0000FF"/>
      <w:u w:val="single"/>
    </w:rPr>
  </w:style>
  <w:style w:type="character" w:styleId="Hiperligaovisitada">
    <w:name w:val="FollowedHyperlink"/>
    <w:basedOn w:val="Tipodeletrapredefinidodopargrafo"/>
    <w:rsid w:val="009C08C2"/>
    <w:rPr>
      <w:color w:val="800080"/>
      <w:u w:val="single"/>
    </w:rPr>
  </w:style>
  <w:style w:type="paragraph" w:styleId="HTMLpr-formatado">
    <w:name w:val="HTML Preformatted"/>
    <w:basedOn w:val="Normal"/>
    <w:rsid w:val="009C08C2"/>
    <w:rPr>
      <w:rFonts w:ascii="Courier New" w:hAnsi="Courier New" w:cs="Courier New"/>
    </w:rPr>
  </w:style>
  <w:style w:type="paragraph" w:styleId="ndice1">
    <w:name w:val="toc 1"/>
    <w:basedOn w:val="Normal"/>
    <w:next w:val="Normal"/>
    <w:autoRedefine/>
    <w:uiPriority w:val="39"/>
    <w:rsid w:val="0011462B"/>
    <w:pPr>
      <w:tabs>
        <w:tab w:val="left" w:pos="567"/>
        <w:tab w:val="right" w:leader="dot" w:pos="9922"/>
      </w:tabs>
      <w:spacing w:before="120" w:after="120"/>
      <w:ind w:left="0"/>
    </w:pPr>
  </w:style>
  <w:style w:type="paragraph" w:styleId="ndice2">
    <w:name w:val="toc 2"/>
    <w:basedOn w:val="Normal"/>
    <w:next w:val="Normal"/>
    <w:autoRedefine/>
    <w:uiPriority w:val="39"/>
    <w:rsid w:val="009C08C2"/>
    <w:pPr>
      <w:ind w:left="200"/>
    </w:pPr>
  </w:style>
  <w:style w:type="paragraph" w:styleId="ndice3">
    <w:name w:val="toc 3"/>
    <w:basedOn w:val="Normal"/>
    <w:next w:val="Normal"/>
    <w:autoRedefine/>
    <w:uiPriority w:val="39"/>
    <w:rsid w:val="0011462B"/>
    <w:pPr>
      <w:tabs>
        <w:tab w:val="left" w:pos="567"/>
        <w:tab w:val="right" w:leader="dot" w:pos="9912"/>
      </w:tabs>
      <w:spacing w:before="120" w:after="120"/>
      <w:ind w:left="0"/>
    </w:pPr>
  </w:style>
  <w:style w:type="paragraph" w:styleId="ndice4">
    <w:name w:val="toc 4"/>
    <w:basedOn w:val="Normal"/>
    <w:next w:val="Normal"/>
    <w:autoRedefine/>
    <w:semiHidden/>
    <w:rsid w:val="009C08C2"/>
    <w:pPr>
      <w:ind w:left="600"/>
    </w:pPr>
  </w:style>
  <w:style w:type="paragraph" w:styleId="ndice5">
    <w:name w:val="toc 5"/>
    <w:basedOn w:val="Normal"/>
    <w:next w:val="Normal"/>
    <w:autoRedefine/>
    <w:semiHidden/>
    <w:rsid w:val="009C08C2"/>
    <w:pPr>
      <w:ind w:left="800"/>
    </w:pPr>
  </w:style>
  <w:style w:type="paragraph" w:styleId="ndice6">
    <w:name w:val="toc 6"/>
    <w:basedOn w:val="Normal"/>
    <w:next w:val="Normal"/>
    <w:autoRedefine/>
    <w:semiHidden/>
    <w:rsid w:val="009C08C2"/>
    <w:pPr>
      <w:ind w:left="1000"/>
    </w:pPr>
  </w:style>
  <w:style w:type="paragraph" w:styleId="ndice7">
    <w:name w:val="toc 7"/>
    <w:basedOn w:val="Normal"/>
    <w:next w:val="Normal"/>
    <w:autoRedefine/>
    <w:semiHidden/>
    <w:rsid w:val="009C08C2"/>
    <w:pPr>
      <w:ind w:left="1200"/>
    </w:pPr>
  </w:style>
  <w:style w:type="paragraph" w:styleId="ndice8">
    <w:name w:val="toc 8"/>
    <w:basedOn w:val="Normal"/>
    <w:next w:val="Normal"/>
    <w:autoRedefine/>
    <w:semiHidden/>
    <w:rsid w:val="009C08C2"/>
    <w:pPr>
      <w:ind w:left="1400"/>
    </w:pPr>
  </w:style>
  <w:style w:type="paragraph" w:styleId="ndice9">
    <w:name w:val="toc 9"/>
    <w:basedOn w:val="Normal"/>
    <w:next w:val="Normal"/>
    <w:autoRedefine/>
    <w:semiHidden/>
    <w:rsid w:val="009C08C2"/>
    <w:pPr>
      <w:ind w:left="1600"/>
    </w:pPr>
  </w:style>
  <w:style w:type="paragraph" w:styleId="ndicedeautoridades">
    <w:name w:val="table of authorities"/>
    <w:basedOn w:val="Normal"/>
    <w:next w:val="Normal"/>
    <w:semiHidden/>
    <w:rsid w:val="009C08C2"/>
    <w:pPr>
      <w:ind w:left="200" w:hanging="200"/>
    </w:pPr>
  </w:style>
  <w:style w:type="paragraph" w:styleId="ndicedeilustraes">
    <w:name w:val="table of figures"/>
    <w:basedOn w:val="Normal"/>
    <w:next w:val="Normal"/>
    <w:semiHidden/>
    <w:rsid w:val="009C08C2"/>
    <w:pPr>
      <w:ind w:left="400" w:hanging="400"/>
    </w:pPr>
  </w:style>
  <w:style w:type="paragraph" w:styleId="ndiceremissivo1">
    <w:name w:val="index 1"/>
    <w:basedOn w:val="Normal"/>
    <w:next w:val="Normal"/>
    <w:autoRedefine/>
    <w:semiHidden/>
    <w:rsid w:val="009C08C2"/>
    <w:pPr>
      <w:ind w:left="200" w:hanging="200"/>
    </w:pPr>
  </w:style>
  <w:style w:type="paragraph" w:styleId="ndiceremissivo2">
    <w:name w:val="index 2"/>
    <w:basedOn w:val="Normal"/>
    <w:next w:val="Normal"/>
    <w:autoRedefine/>
    <w:semiHidden/>
    <w:rsid w:val="009C08C2"/>
    <w:pPr>
      <w:ind w:left="400" w:hanging="200"/>
    </w:pPr>
  </w:style>
  <w:style w:type="paragraph" w:styleId="ndiceremissivo3">
    <w:name w:val="index 3"/>
    <w:basedOn w:val="Normal"/>
    <w:next w:val="Normal"/>
    <w:autoRedefine/>
    <w:semiHidden/>
    <w:rsid w:val="009C08C2"/>
    <w:pPr>
      <w:ind w:left="600" w:hanging="200"/>
    </w:pPr>
  </w:style>
  <w:style w:type="paragraph" w:styleId="ndiceremissivo4">
    <w:name w:val="index 4"/>
    <w:basedOn w:val="Normal"/>
    <w:next w:val="Normal"/>
    <w:autoRedefine/>
    <w:semiHidden/>
    <w:rsid w:val="009C08C2"/>
    <w:pPr>
      <w:ind w:left="800" w:hanging="200"/>
    </w:pPr>
  </w:style>
  <w:style w:type="paragraph" w:styleId="ndiceremissivo5">
    <w:name w:val="index 5"/>
    <w:basedOn w:val="Normal"/>
    <w:next w:val="Normal"/>
    <w:autoRedefine/>
    <w:semiHidden/>
    <w:rsid w:val="009C08C2"/>
    <w:pPr>
      <w:ind w:left="1000" w:hanging="200"/>
    </w:pPr>
  </w:style>
  <w:style w:type="paragraph" w:styleId="ndiceremissivo6">
    <w:name w:val="index 6"/>
    <w:basedOn w:val="Normal"/>
    <w:next w:val="Normal"/>
    <w:autoRedefine/>
    <w:semiHidden/>
    <w:rsid w:val="009C08C2"/>
    <w:pPr>
      <w:ind w:left="1200" w:hanging="200"/>
    </w:pPr>
  </w:style>
  <w:style w:type="paragraph" w:styleId="ndiceremissivo7">
    <w:name w:val="index 7"/>
    <w:basedOn w:val="Normal"/>
    <w:next w:val="Normal"/>
    <w:autoRedefine/>
    <w:semiHidden/>
    <w:rsid w:val="009C08C2"/>
    <w:pPr>
      <w:ind w:left="1400" w:hanging="200"/>
    </w:pPr>
  </w:style>
  <w:style w:type="paragraph" w:styleId="ndiceremissivo8">
    <w:name w:val="index 8"/>
    <w:basedOn w:val="Normal"/>
    <w:next w:val="Normal"/>
    <w:autoRedefine/>
    <w:semiHidden/>
    <w:rsid w:val="009C08C2"/>
    <w:pPr>
      <w:ind w:left="1600" w:hanging="200"/>
    </w:pPr>
  </w:style>
  <w:style w:type="paragraph" w:styleId="ndiceremissivo9">
    <w:name w:val="index 9"/>
    <w:basedOn w:val="Normal"/>
    <w:next w:val="Normal"/>
    <w:autoRedefine/>
    <w:semiHidden/>
    <w:rsid w:val="009C08C2"/>
    <w:pPr>
      <w:ind w:left="1800" w:hanging="200"/>
    </w:pPr>
  </w:style>
  <w:style w:type="paragraph" w:styleId="Inciodecarta">
    <w:name w:val="Salutation"/>
    <w:basedOn w:val="Normal"/>
    <w:next w:val="Normal"/>
    <w:rsid w:val="009C08C2"/>
  </w:style>
  <w:style w:type="paragraph" w:styleId="Legenda">
    <w:name w:val="caption"/>
    <w:basedOn w:val="Normal"/>
    <w:next w:val="Normal"/>
    <w:qFormat/>
    <w:rsid w:val="009C08C2"/>
    <w:pPr>
      <w:spacing w:before="120" w:after="120"/>
    </w:pPr>
    <w:rPr>
      <w:b/>
      <w:bCs/>
    </w:rPr>
  </w:style>
  <w:style w:type="paragraph" w:styleId="Mapadodocumento">
    <w:name w:val="Document Map"/>
    <w:basedOn w:val="Normal"/>
    <w:semiHidden/>
    <w:rsid w:val="009C08C2"/>
    <w:pPr>
      <w:shd w:val="clear" w:color="auto" w:fill="000080"/>
    </w:pPr>
    <w:rPr>
      <w:rFonts w:ascii="Tahoma" w:hAnsi="Tahoma" w:cs="Tahoma"/>
    </w:rPr>
  </w:style>
  <w:style w:type="character" w:styleId="MquinadeescreverHTML">
    <w:name w:val="HTML Typewriter"/>
    <w:basedOn w:val="Tipodeletrapredefinidodopargrafo"/>
    <w:rsid w:val="009C08C2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uiPriority w:val="99"/>
    <w:rsid w:val="009C08C2"/>
    <w:rPr>
      <w:rFonts w:ascii="Times New Roman" w:hAnsi="Times New Roman"/>
      <w:sz w:val="24"/>
      <w:szCs w:val="24"/>
    </w:rPr>
  </w:style>
  <w:style w:type="character" w:styleId="Nmerodelinha">
    <w:name w:val="line number"/>
    <w:basedOn w:val="Tipodeletrapredefinidodopargrafo"/>
    <w:rsid w:val="009C08C2"/>
  </w:style>
  <w:style w:type="paragraph" w:styleId="Primeiroavanodecorpodetexto">
    <w:name w:val="Body Text First Indent"/>
    <w:basedOn w:val="Corpodetexto"/>
    <w:rsid w:val="009C08C2"/>
    <w:pPr>
      <w:spacing w:after="120" w:line="240" w:lineRule="auto"/>
      <w:ind w:firstLine="210"/>
      <w:jc w:val="left"/>
    </w:pPr>
  </w:style>
  <w:style w:type="paragraph" w:styleId="Primeiroavanodecorpodetexto2">
    <w:name w:val="Body Text First Indent 2"/>
    <w:basedOn w:val="Avanodecorpodetexto"/>
    <w:rsid w:val="009C08C2"/>
    <w:pPr>
      <w:ind w:firstLine="210"/>
    </w:pPr>
  </w:style>
  <w:style w:type="character" w:styleId="Refdecomentrio">
    <w:name w:val="annotation reference"/>
    <w:basedOn w:val="Tipodeletrapredefinidodopargrafo"/>
    <w:uiPriority w:val="99"/>
    <w:semiHidden/>
    <w:rsid w:val="009C08C2"/>
    <w:rPr>
      <w:sz w:val="16"/>
      <w:szCs w:val="16"/>
    </w:rPr>
  </w:style>
  <w:style w:type="character" w:styleId="Refdenotadefim">
    <w:name w:val="endnote reference"/>
    <w:basedOn w:val="Tipodeletrapredefinidodopargrafo"/>
    <w:semiHidden/>
    <w:rsid w:val="009C08C2"/>
    <w:rPr>
      <w:vertAlign w:val="superscript"/>
    </w:rPr>
  </w:style>
  <w:style w:type="character" w:styleId="Refdenotaderodap">
    <w:name w:val="footnote reference"/>
    <w:basedOn w:val="Tipodeletrapredefinidodopargrafo"/>
    <w:uiPriority w:val="99"/>
    <w:semiHidden/>
    <w:rsid w:val="009C08C2"/>
    <w:rPr>
      <w:vertAlign w:val="superscript"/>
    </w:rPr>
  </w:style>
  <w:style w:type="paragraph" w:styleId="Rematedecarta">
    <w:name w:val="Closing"/>
    <w:basedOn w:val="Normal"/>
    <w:rsid w:val="009C08C2"/>
    <w:pPr>
      <w:ind w:left="4320"/>
    </w:pPr>
  </w:style>
  <w:style w:type="paragraph" w:styleId="Remetente">
    <w:name w:val="envelope return"/>
    <w:basedOn w:val="Normal"/>
    <w:rsid w:val="009C08C2"/>
    <w:pPr>
      <w:ind w:left="0"/>
    </w:pPr>
    <w:rPr>
      <w:rFonts w:cs="Arial"/>
    </w:rPr>
  </w:style>
  <w:style w:type="character" w:styleId="Forte">
    <w:name w:val="Strong"/>
    <w:basedOn w:val="Tipodeletrapredefinidodopargrafo"/>
    <w:qFormat/>
    <w:rsid w:val="009C08C2"/>
    <w:rPr>
      <w:b/>
      <w:bCs/>
    </w:rPr>
  </w:style>
  <w:style w:type="paragraph" w:styleId="Subttulo">
    <w:name w:val="Subtitle"/>
    <w:basedOn w:val="Normal"/>
    <w:qFormat/>
    <w:rsid w:val="009C08C2"/>
    <w:pPr>
      <w:spacing w:after="60"/>
      <w:jc w:val="center"/>
      <w:outlineLvl w:val="1"/>
    </w:pPr>
    <w:rPr>
      <w:rFonts w:cs="Arial"/>
      <w:sz w:val="24"/>
      <w:szCs w:val="24"/>
    </w:rPr>
  </w:style>
  <w:style w:type="character" w:styleId="TecladoHTML">
    <w:name w:val="HTML Keyboard"/>
    <w:basedOn w:val="Tipodeletrapredefinidodopargrafo"/>
    <w:rsid w:val="009C08C2"/>
    <w:rPr>
      <w:rFonts w:ascii="Courier New" w:hAnsi="Courier New"/>
      <w:sz w:val="20"/>
      <w:szCs w:val="20"/>
    </w:rPr>
  </w:style>
  <w:style w:type="paragraph" w:styleId="Textodebloco">
    <w:name w:val="Block Text"/>
    <w:basedOn w:val="Normal"/>
    <w:rsid w:val="009C08C2"/>
    <w:pPr>
      <w:spacing w:after="120"/>
      <w:ind w:left="1440" w:right="1440"/>
    </w:pPr>
  </w:style>
  <w:style w:type="paragraph" w:styleId="Textodecomentrio">
    <w:name w:val="annotation text"/>
    <w:basedOn w:val="Normal"/>
    <w:link w:val="TextodecomentrioCarcter"/>
    <w:rsid w:val="009C08C2"/>
  </w:style>
  <w:style w:type="paragraph" w:styleId="Textodemacro">
    <w:name w:val="macro"/>
    <w:semiHidden/>
    <w:rsid w:val="009C08C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835"/>
    </w:pPr>
    <w:rPr>
      <w:rFonts w:ascii="Courier New" w:eastAsia="Times New Roman" w:hAnsi="Courier New" w:cs="Courier New"/>
      <w:spacing w:val="-5"/>
      <w:lang w:eastAsia="en-US"/>
    </w:rPr>
  </w:style>
  <w:style w:type="paragraph" w:styleId="Textodenotadefim">
    <w:name w:val="endnote text"/>
    <w:basedOn w:val="Normal"/>
    <w:semiHidden/>
    <w:rsid w:val="009C08C2"/>
  </w:style>
  <w:style w:type="paragraph" w:styleId="Textodenotaderodap">
    <w:name w:val="footnote text"/>
    <w:basedOn w:val="Normal"/>
    <w:link w:val="TextodenotaderodapCarcter"/>
    <w:uiPriority w:val="99"/>
    <w:semiHidden/>
    <w:rsid w:val="009C08C2"/>
  </w:style>
  <w:style w:type="paragraph" w:styleId="Textosimples">
    <w:name w:val="Plain Text"/>
    <w:basedOn w:val="Normal"/>
    <w:rsid w:val="009C08C2"/>
    <w:rPr>
      <w:rFonts w:ascii="Courier New" w:hAnsi="Courier New" w:cs="Courier New"/>
    </w:rPr>
  </w:style>
  <w:style w:type="paragraph" w:styleId="Ttulo">
    <w:name w:val="Title"/>
    <w:basedOn w:val="Normal"/>
    <w:qFormat/>
    <w:rsid w:val="009C08C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anota">
    <w:name w:val="Note Heading"/>
    <w:basedOn w:val="Normal"/>
    <w:next w:val="Normal"/>
    <w:rsid w:val="009C08C2"/>
  </w:style>
  <w:style w:type="paragraph" w:styleId="Ttulodendicedeautoridades">
    <w:name w:val="toa heading"/>
    <w:basedOn w:val="Normal"/>
    <w:next w:val="Normal"/>
    <w:semiHidden/>
    <w:rsid w:val="009C08C2"/>
    <w:pPr>
      <w:spacing w:before="120"/>
    </w:pPr>
    <w:rPr>
      <w:rFonts w:cs="Arial"/>
      <w:b/>
      <w:bCs/>
      <w:sz w:val="24"/>
      <w:szCs w:val="24"/>
    </w:rPr>
  </w:style>
  <w:style w:type="paragraph" w:styleId="Ttulodendiceremissivo">
    <w:name w:val="index heading"/>
    <w:basedOn w:val="Normal"/>
    <w:next w:val="ndiceremissivo1"/>
    <w:semiHidden/>
    <w:rsid w:val="009C08C2"/>
    <w:rPr>
      <w:rFonts w:cs="Arial"/>
      <w:b/>
      <w:bCs/>
    </w:rPr>
  </w:style>
  <w:style w:type="character" w:styleId="VarivelHTML">
    <w:name w:val="HTML Variable"/>
    <w:basedOn w:val="Tipodeletrapredefinidodopargrafo"/>
    <w:rsid w:val="009C08C2"/>
    <w:rPr>
      <w:i/>
      <w:iCs/>
    </w:rPr>
  </w:style>
  <w:style w:type="paragraph" w:customStyle="1" w:styleId="Checkboxes">
    <w:name w:val="Checkboxes"/>
    <w:basedOn w:val="Normal"/>
    <w:rsid w:val="009C08C2"/>
    <w:pPr>
      <w:spacing w:before="360" w:after="360"/>
      <w:ind w:left="0"/>
    </w:pPr>
    <w:rPr>
      <w:rFonts w:ascii="Times New Roman" w:hAnsi="Times New Roman"/>
      <w:spacing w:val="0"/>
      <w:lang w:val="en-GB" w:eastAsia="pt-PT"/>
    </w:rPr>
  </w:style>
  <w:style w:type="character" w:customStyle="1" w:styleId="MessageHeaderLabel">
    <w:name w:val="Message Header Label"/>
    <w:rsid w:val="009C08C2"/>
    <w:rPr>
      <w:b/>
      <w:sz w:val="18"/>
    </w:rPr>
  </w:style>
  <w:style w:type="paragraph" w:customStyle="1" w:styleId="Baseparattulos">
    <w:name w:val="Base para títulos"/>
    <w:basedOn w:val="Corpodetexto"/>
    <w:next w:val="Corpodetexto"/>
    <w:rsid w:val="009C08C2"/>
    <w:pPr>
      <w:keepNext/>
      <w:keepLines/>
      <w:spacing w:after="0" w:line="240" w:lineRule="atLeast"/>
      <w:ind w:left="0"/>
      <w:jc w:val="left"/>
    </w:pPr>
    <w:rPr>
      <w:rFonts w:ascii="Garamond" w:hAnsi="Garamond"/>
      <w:spacing w:val="0"/>
      <w:kern w:val="20"/>
      <w:sz w:val="22"/>
      <w:lang w:eastAsia="pt-PT"/>
    </w:rPr>
  </w:style>
  <w:style w:type="table" w:styleId="Tabelacomgrelha">
    <w:name w:val="Table Grid"/>
    <w:basedOn w:val="Tabelanormal"/>
    <w:uiPriority w:val="39"/>
    <w:rsid w:val="00A54E06"/>
    <w:pPr>
      <w:ind w:left="83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terCarcterCharCharCarcterCarcterCharCharCarcterCarcterCarcterCharCharCarcterCarcter1CharCharCarcterCarcterCharCarcterCarcterCarcterCharCharCarcterCharCharCarcter">
    <w:name w:val="Carácter Carácter Char Char Carácter Carácter Char Char Carácter Carácter Carácter Char Char Carácter Carácter1 Char Char Carácter Carácter Char Carácter Carácter Carácter Char Char Carácter Char Char Carácter"/>
    <w:basedOn w:val="Normal"/>
    <w:rsid w:val="00C159AC"/>
    <w:pPr>
      <w:tabs>
        <w:tab w:val="num" w:pos="1417"/>
      </w:tabs>
      <w:spacing w:before="120" w:after="120"/>
      <w:ind w:left="1417" w:hanging="708"/>
      <w:jc w:val="both"/>
    </w:pPr>
  </w:style>
  <w:style w:type="paragraph" w:customStyle="1" w:styleId="CarcterCharCharCarcterCarcter">
    <w:name w:val="Carácter Char Char Carácter Carácter"/>
    <w:basedOn w:val="Normal"/>
    <w:rsid w:val="00364BBB"/>
    <w:pPr>
      <w:tabs>
        <w:tab w:val="num" w:pos="1417"/>
      </w:tabs>
      <w:spacing w:before="120" w:after="120"/>
      <w:ind w:left="1417" w:hanging="708"/>
      <w:jc w:val="both"/>
    </w:pPr>
    <w:rPr>
      <w:rFonts w:ascii="Times New Roman" w:hAnsi="Times New Roman"/>
      <w:snapToGrid w:val="0"/>
      <w:spacing w:val="0"/>
      <w:sz w:val="24"/>
      <w:szCs w:val="24"/>
      <w:lang w:val="en-GB" w:eastAsia="en-GB"/>
    </w:rPr>
  </w:style>
  <w:style w:type="paragraph" w:customStyle="1" w:styleId="CarcterCharChar">
    <w:name w:val="Carácter Char Char"/>
    <w:basedOn w:val="Normal"/>
    <w:rsid w:val="00566150"/>
    <w:pPr>
      <w:tabs>
        <w:tab w:val="num" w:pos="1417"/>
      </w:tabs>
      <w:spacing w:before="120" w:after="120"/>
      <w:ind w:left="1417" w:hanging="708"/>
      <w:jc w:val="both"/>
    </w:pPr>
    <w:rPr>
      <w:rFonts w:ascii="Times New Roman" w:hAnsi="Times New Roman"/>
      <w:snapToGrid w:val="0"/>
      <w:spacing w:val="0"/>
      <w:sz w:val="24"/>
      <w:szCs w:val="24"/>
      <w:lang w:val="en-GB" w:eastAsia="en-GB"/>
    </w:rPr>
  </w:style>
  <w:style w:type="paragraph" w:styleId="Textodebalo">
    <w:name w:val="Balloon Text"/>
    <w:basedOn w:val="Normal"/>
    <w:semiHidden/>
    <w:rsid w:val="00C377D4"/>
    <w:rPr>
      <w:rFonts w:ascii="Tahoma" w:hAnsi="Tahoma" w:cs="Tahoma"/>
      <w:sz w:val="16"/>
      <w:szCs w:val="16"/>
    </w:rPr>
  </w:style>
  <w:style w:type="paragraph" w:customStyle="1" w:styleId="CharChar1">
    <w:name w:val="Char Char1"/>
    <w:basedOn w:val="Normal"/>
    <w:rsid w:val="00626C83"/>
    <w:pPr>
      <w:tabs>
        <w:tab w:val="num" w:pos="1417"/>
      </w:tabs>
      <w:spacing w:before="120" w:after="120"/>
      <w:ind w:left="1417" w:hanging="708"/>
      <w:jc w:val="both"/>
    </w:pPr>
    <w:rPr>
      <w:rFonts w:ascii="Times New Roman" w:hAnsi="Times New Roman"/>
      <w:snapToGrid w:val="0"/>
      <w:spacing w:val="0"/>
      <w:sz w:val="24"/>
      <w:szCs w:val="24"/>
      <w:lang w:val="en-GB" w:eastAsia="en-GB"/>
    </w:rPr>
  </w:style>
  <w:style w:type="paragraph" w:customStyle="1" w:styleId="CarcterCarcterCharCharCarcterCarcterCharCharCarcterCarcterCarcterCharCharCarcterCarcter1CharCharCarcterCarcterCharCarcterCarcterCarcterCharCharCarcterCharChar">
    <w:name w:val="Carácter Carácter Char Char Carácter Carácter Char Char Carácter Carácter Carácter Char Char Carácter Carácter1 Char Char Carácter Carácter Char Carácter Carácter Carácter Char Char Carácter Char Char"/>
    <w:basedOn w:val="Normal"/>
    <w:rsid w:val="00423BF5"/>
    <w:pPr>
      <w:tabs>
        <w:tab w:val="num" w:pos="1417"/>
      </w:tabs>
      <w:spacing w:before="120" w:after="120"/>
      <w:ind w:left="1417" w:hanging="708"/>
      <w:jc w:val="both"/>
    </w:pPr>
    <w:rPr>
      <w:rFonts w:ascii="Times New Roman" w:hAnsi="Times New Roman"/>
      <w:snapToGrid w:val="0"/>
      <w:spacing w:val="0"/>
      <w:sz w:val="24"/>
      <w:szCs w:val="24"/>
      <w:lang w:val="en-GB" w:eastAsia="en-GB"/>
    </w:rPr>
  </w:style>
  <w:style w:type="paragraph" w:customStyle="1" w:styleId="Default">
    <w:name w:val="Default"/>
    <w:rsid w:val="003D370C"/>
    <w:pPr>
      <w:autoSpaceDE w:val="0"/>
      <w:autoSpaceDN w:val="0"/>
      <w:adjustRightInd w:val="0"/>
    </w:pPr>
    <w:rPr>
      <w:rFonts w:ascii="Trebuchet MS" w:eastAsia="Times New Roman" w:hAnsi="Trebuchet MS" w:cs="Trebuchet MS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409F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</w:rPr>
  </w:style>
  <w:style w:type="numbering" w:styleId="111111">
    <w:name w:val="Outline List 2"/>
    <w:basedOn w:val="Semlista"/>
    <w:rsid w:val="008E7C75"/>
    <w:pPr>
      <w:numPr>
        <w:numId w:val="11"/>
      </w:numPr>
    </w:pPr>
  </w:style>
  <w:style w:type="numbering" w:customStyle="1" w:styleId="Estilo1">
    <w:name w:val="Estilo1"/>
    <w:rsid w:val="008E7C75"/>
    <w:pPr>
      <w:numPr>
        <w:numId w:val="12"/>
      </w:numPr>
    </w:p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AB409F"/>
    <w:rPr>
      <w:rFonts w:ascii="Arial" w:hAnsi="Arial"/>
      <w:spacing w:val="-5"/>
      <w:lang w:eastAsia="en-US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473DBE"/>
    <w:rPr>
      <w:rFonts w:ascii="Arial" w:hAnsi="Arial"/>
      <w:spacing w:val="-5"/>
      <w:lang w:eastAsia="en-US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E31311"/>
    <w:rPr>
      <w:rFonts w:ascii="Arial" w:eastAsia="Times New Roman" w:hAnsi="Arial"/>
      <w:spacing w:val="-5"/>
      <w:sz w:val="18"/>
      <w:lang w:eastAsia="en-US"/>
    </w:rPr>
  </w:style>
  <w:style w:type="paragraph" w:styleId="SemEspaamento">
    <w:name w:val="No Spacing"/>
    <w:link w:val="SemEspaamentoCarcter"/>
    <w:uiPriority w:val="1"/>
    <w:qFormat/>
    <w:rsid w:val="00506F49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506F49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txtpreto121">
    <w:name w:val="txtpreto121"/>
    <w:basedOn w:val="Tipodeletrapredefinidodopargrafo"/>
    <w:rsid w:val="003B0B5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apple-converted-space">
    <w:name w:val="apple-converted-space"/>
    <w:basedOn w:val="Tipodeletrapredefinidodopargrafo"/>
    <w:rsid w:val="00B650EB"/>
  </w:style>
  <w:style w:type="character" w:customStyle="1" w:styleId="TextodecomentrioCarcter">
    <w:name w:val="Texto de comentário Carácter"/>
    <w:basedOn w:val="Tipodeletrapredefinidodopargrafo"/>
    <w:link w:val="Textodecomentrio"/>
    <w:rsid w:val="00776757"/>
    <w:rPr>
      <w:rFonts w:ascii="Arial" w:eastAsia="Times New Roman" w:hAnsi="Arial"/>
      <w:spacing w:val="-5"/>
      <w:lang w:eastAsia="en-US"/>
    </w:rPr>
  </w:style>
  <w:style w:type="paragraph" w:styleId="Reviso">
    <w:name w:val="Revision"/>
    <w:hidden/>
    <w:uiPriority w:val="99"/>
    <w:semiHidden/>
    <w:rsid w:val="00B84F6D"/>
    <w:rPr>
      <w:rFonts w:ascii="Arial" w:eastAsia="Times New Roman" w:hAnsi="Arial"/>
      <w:spacing w:val="-5"/>
      <w:lang w:eastAsia="en-US"/>
    </w:rPr>
  </w:style>
  <w:style w:type="paragraph" w:customStyle="1" w:styleId="CM4">
    <w:name w:val="CM4"/>
    <w:basedOn w:val="Normal"/>
    <w:next w:val="Normal"/>
    <w:uiPriority w:val="99"/>
    <w:rsid w:val="000120EA"/>
    <w:pPr>
      <w:autoSpaceDE w:val="0"/>
      <w:autoSpaceDN w:val="0"/>
      <w:adjustRightInd w:val="0"/>
      <w:ind w:left="0"/>
    </w:pPr>
    <w:rPr>
      <w:rFonts w:ascii="EUAlbertina" w:eastAsiaTheme="minorHAnsi" w:hAnsi="EUAlbertina" w:cstheme="minorBidi"/>
      <w:spacing w:val="0"/>
      <w:sz w:val="24"/>
      <w:szCs w:val="24"/>
    </w:rPr>
  </w:style>
  <w:style w:type="paragraph" w:styleId="Ttulodondice">
    <w:name w:val="TOC Heading"/>
    <w:basedOn w:val="Cabealho1"/>
    <w:next w:val="Normal"/>
    <w:uiPriority w:val="39"/>
    <w:unhideWhenUsed/>
    <w:qFormat/>
    <w:rsid w:val="000120EA"/>
    <w:pPr>
      <w:spacing w:before="240" w:after="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pacing w:val="0"/>
      <w:kern w:val="0"/>
      <w:sz w:val="32"/>
      <w:szCs w:val="32"/>
      <w:lang w:eastAsia="pt-PT"/>
    </w:rPr>
  </w:style>
  <w:style w:type="character" w:customStyle="1" w:styleId="CorpodetextoCarcter">
    <w:name w:val="Corpo de texto Carácter"/>
    <w:basedOn w:val="Tipodeletrapredefinidodopargrafo"/>
    <w:link w:val="Corpodetexto"/>
    <w:rsid w:val="006E01CB"/>
    <w:rPr>
      <w:rFonts w:ascii="Arial" w:eastAsia="Times New Roman" w:hAnsi="Arial"/>
      <w:spacing w:val="-5"/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cter"/>
    <w:semiHidden/>
    <w:unhideWhenUsed/>
    <w:rsid w:val="00850728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semiHidden/>
    <w:rsid w:val="00850728"/>
    <w:rPr>
      <w:rFonts w:ascii="Arial" w:eastAsia="Times New Roman" w:hAnsi="Arial"/>
      <w:b/>
      <w:bCs/>
      <w:spacing w:val="-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0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96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44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662037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007366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790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7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4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1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7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33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5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3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89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7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847874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0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8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9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2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9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6FE22-0C2F-466E-8934-2742333F6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7704</Words>
  <Characters>41603</Characters>
  <Application>Microsoft Office Word</Application>
  <DocSecurity>0</DocSecurity>
  <PresentationFormat/>
  <Lines>346</Lines>
  <Paragraphs>98</Paragraphs>
  <Slides>0</Slides>
  <Notes>0</Notes>
  <HiddenSlides>0</HiddenSlides>
  <MMClips>0</MMClip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Modelo de Aviso</vt:lpstr>
      <vt:lpstr>Modelo de Aviso</vt:lpstr>
    </vt:vector>
  </TitlesOfParts>
  <Company>IDR-Madeira</Company>
  <LinksUpToDate>false</LinksUpToDate>
  <CharactersWithSpaces>49209</CharactersWithSpaces>
  <SharedDoc>false</SharedDoc>
  <HyperlinkBase/>
  <HLinks>
    <vt:vector size="24" baseType="variant">
      <vt:variant>
        <vt:i4>4194309</vt:i4>
      </vt:variant>
      <vt:variant>
        <vt:i4>9</vt:i4>
      </vt:variant>
      <vt:variant>
        <vt:i4>0</vt:i4>
      </vt:variant>
      <vt:variant>
        <vt:i4>5</vt:i4>
      </vt:variant>
      <vt:variant>
        <vt:lpwstr>http://www.povt.qren.pt/</vt:lpwstr>
      </vt:variant>
      <vt:variant>
        <vt:lpwstr/>
      </vt:variant>
      <vt:variant>
        <vt:i4>4194309</vt:i4>
      </vt:variant>
      <vt:variant>
        <vt:i4>6</vt:i4>
      </vt:variant>
      <vt:variant>
        <vt:i4>0</vt:i4>
      </vt:variant>
      <vt:variant>
        <vt:i4>5</vt:i4>
      </vt:variant>
      <vt:variant>
        <vt:lpwstr>http://www.povt.qren.pt/</vt:lpwstr>
      </vt:variant>
      <vt:variant>
        <vt:lpwstr/>
      </vt:variant>
      <vt:variant>
        <vt:i4>4194309</vt:i4>
      </vt:variant>
      <vt:variant>
        <vt:i4>3</vt:i4>
      </vt:variant>
      <vt:variant>
        <vt:i4>0</vt:i4>
      </vt:variant>
      <vt:variant>
        <vt:i4>5</vt:i4>
      </vt:variant>
      <vt:variant>
        <vt:lpwstr>http://www.povt.qren.pt/</vt:lpwstr>
      </vt:variant>
      <vt:variant>
        <vt:lpwstr/>
      </vt:variant>
      <vt:variant>
        <vt:i4>4194309</vt:i4>
      </vt:variant>
      <vt:variant>
        <vt:i4>0</vt:i4>
      </vt:variant>
      <vt:variant>
        <vt:i4>0</vt:i4>
      </vt:variant>
      <vt:variant>
        <vt:i4>5</vt:i4>
      </vt:variant>
      <vt:variant>
        <vt:lpwstr>http://www.povt.qren.pt/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Aviso</dc:title>
  <dc:creator>Raquel Baptista</dc:creator>
  <cp:lastModifiedBy>Márcia Vieira</cp:lastModifiedBy>
  <cp:revision>2</cp:revision>
  <cp:lastPrinted>2017-02-13T12:59:00Z</cp:lastPrinted>
  <dcterms:created xsi:type="dcterms:W3CDTF">2017-03-15T14:04:00Z</dcterms:created>
  <dcterms:modified xsi:type="dcterms:W3CDTF">2017-03-15T14:04:00Z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2070</vt:i4>
  </property>
</Properties>
</file>